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3F830">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金融脆弱性与金融危机</w:t>
      </w:r>
    </w:p>
    <w:p w14:paraId="734248D9">
      <w:pPr>
        <w:keepNext w:val="0"/>
        <w:keepLines w:val="0"/>
        <w:widowControl/>
        <w:suppressLineNumbers w:val="0"/>
        <w:jc w:val="left"/>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1.一个国家或几个国家与地区的全部或大部分金融指标急剧、短暂和超周期地恶化，称为（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A.经济危机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B.金融危机</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D.系统性风险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金融危机是指一个国家或几个国家与地区的全部或大部分金融指标(如短期利率、汇率、资产价格、企业偿债能力和金融机构倒闭数)急剧、短暂和超周期地恶化。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  ）是相当一部分金融机构的负债超过其资产的市场价值，导致挤兑和资产构成的其他转换，一些金融机构倒闭、政府干预的情形。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A.次贷危机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B.金融危机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C.金融脆弱性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D.金融泡沫</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金融危机是相当一部分金融机构的负债超过其资产的市场价值，导致挤兑和资产构成的其他转换，一些金融机构倒闭、政府干预的情形。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3.下列不属于明斯基对借款企业的分类的是（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A.抵补性借款企业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B.投机性借款企业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C.庞氏企业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D.融资性借款企业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明斯基将借款的企业分为三类：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第一类是抵补性借款企业，是最安全的借款人；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第二类是投机性借款企业，其财务状况有可能恶化；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第三类是庞氏企业，这类企业要维持运营，必须在长时间内不断地借新债还旧债。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1.经济学文献主要以下（  ）方面解释了股市的过度波动性。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A.过度投机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B.微观经济的不稳定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C.交易和市场结构的某些技术性特征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D.宏观经济的不稳定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E.金融泡沫</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经济学文献主要从三个方面解释了股市的过度波动性：①过度投机；②宏观经济的不稳定；③交易和市场结构的某些技术性特征。</w:t>
      </w:r>
    </w:p>
    <w:p w14:paraId="23DD31C9">
      <w:pPr>
        <w:keepNext w:val="0"/>
        <w:keepLines w:val="0"/>
        <w:widowControl/>
        <w:suppressLineNumbers w:val="0"/>
        <w:jc w:val="left"/>
        <w:rPr>
          <w:rFonts w:hint="eastAsia" w:ascii="宋体" w:hAnsi="宋体" w:eastAsia="宋体" w:cs="宋体"/>
          <w:sz w:val="21"/>
          <w:szCs w:val="21"/>
        </w:rPr>
      </w:pPr>
    </w:p>
    <w:p w14:paraId="48267FC7">
      <w:pPr>
        <w:rPr>
          <w:rFonts w:hint="eastAsia" w:ascii="宋体" w:hAnsi="宋体" w:eastAsia="宋体" w:cs="宋体"/>
          <w:spacing w:val="9"/>
          <w:sz w:val="21"/>
          <w:szCs w:val="21"/>
        </w:rPr>
      </w:pPr>
      <w:r>
        <w:rPr>
          <w:rFonts w:hint="eastAsia" w:ascii="宋体" w:hAnsi="宋体" w:eastAsia="宋体" w:cs="宋体"/>
          <w:spacing w:val="9"/>
          <w:sz w:val="21"/>
          <w:szCs w:val="21"/>
        </w:rPr>
        <w:br w:type="page"/>
      </w:r>
    </w:p>
    <w:p w14:paraId="18C26DE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金融监管基础理论</w:t>
      </w:r>
    </w:p>
    <w:p w14:paraId="3063D12C">
      <w:pPr>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sz w:val="21"/>
          <w:szCs w:val="21"/>
        </w:rPr>
        <w:t>一、单项选择题</w:t>
      </w:r>
    </w:p>
    <w:p w14:paraId="6D8A5238">
      <w:pPr>
        <w:rPr>
          <w:rFonts w:hint="eastAsia" w:ascii="宋体" w:hAnsi="宋体" w:eastAsia="宋体" w:cs="宋体"/>
          <w:spacing w:val="11"/>
          <w:sz w:val="21"/>
          <w:szCs w:val="21"/>
        </w:rPr>
      </w:pPr>
      <w:r>
        <w:rPr>
          <w:rFonts w:hint="eastAsia" w:ascii="宋体" w:hAnsi="宋体" w:eastAsia="宋体" w:cs="宋体"/>
          <w:spacing w:val="11"/>
          <w:sz w:val="21"/>
          <w:szCs w:val="21"/>
          <w:lang w:val="en-US" w:eastAsia="zh-CN"/>
        </w:rPr>
        <w:t>1.</w:t>
      </w:r>
      <w:r>
        <w:rPr>
          <w:rFonts w:hint="eastAsia" w:ascii="宋体" w:hAnsi="宋体" w:eastAsia="宋体" w:cs="宋体"/>
          <w:spacing w:val="11"/>
          <w:sz w:val="21"/>
          <w:szCs w:val="21"/>
        </w:rPr>
        <w:t>下列理论中，将金融监管视为政治过程，强调各利益集团在监管政策制定中作用的是</w:t>
      </w:r>
      <w:r>
        <w:rPr>
          <w:rFonts w:hint="eastAsia" w:ascii="宋体" w:hAnsi="宋体" w:eastAsia="宋体" w:cs="宋体"/>
          <w:spacing w:val="11"/>
          <w:sz w:val="21"/>
          <w:szCs w:val="21"/>
          <w:lang w:eastAsia="zh-CN"/>
        </w:rPr>
        <w:t>（  ）。</w:t>
      </w:r>
      <w:r>
        <w:rPr>
          <w:rFonts w:hint="eastAsia" w:ascii="宋体" w:hAnsi="宋体" w:eastAsia="宋体" w:cs="宋体"/>
          <w:spacing w:val="11"/>
          <w:sz w:val="21"/>
          <w:szCs w:val="21"/>
        </w:rPr>
        <w:t>​</w:t>
      </w:r>
    </w:p>
    <w:p w14:paraId="1AA8E710">
      <w:pPr>
        <w:rPr>
          <w:rFonts w:hint="eastAsia" w:ascii="宋体" w:hAnsi="宋体" w:eastAsia="宋体" w:cs="宋体"/>
          <w:spacing w:val="11"/>
          <w:sz w:val="21"/>
          <w:szCs w:val="21"/>
        </w:rPr>
      </w:pPr>
      <w:r>
        <w:rPr>
          <w:rFonts w:hint="eastAsia" w:ascii="宋体" w:hAnsi="宋体" w:eastAsia="宋体" w:cs="宋体"/>
          <w:spacing w:val="11"/>
          <w:sz w:val="21"/>
          <w:szCs w:val="21"/>
        </w:rPr>
        <w:t>A.社会利益论​</w:t>
      </w:r>
    </w:p>
    <w:p w14:paraId="1D39BA4F">
      <w:pPr>
        <w:rPr>
          <w:rFonts w:hint="eastAsia" w:ascii="宋体" w:hAnsi="宋体" w:eastAsia="宋体" w:cs="宋体"/>
          <w:spacing w:val="11"/>
          <w:sz w:val="21"/>
          <w:szCs w:val="21"/>
        </w:rPr>
      </w:pPr>
      <w:r>
        <w:rPr>
          <w:rFonts w:hint="eastAsia" w:ascii="宋体" w:hAnsi="宋体" w:eastAsia="宋体" w:cs="宋体"/>
          <w:spacing w:val="11"/>
          <w:sz w:val="21"/>
          <w:szCs w:val="21"/>
        </w:rPr>
        <w:t>B.金融风险论​</w:t>
      </w:r>
    </w:p>
    <w:p w14:paraId="77C2AAA9">
      <w:pPr>
        <w:rPr>
          <w:rFonts w:hint="eastAsia" w:ascii="宋体" w:hAnsi="宋体" w:eastAsia="宋体" w:cs="宋体"/>
          <w:spacing w:val="11"/>
          <w:sz w:val="21"/>
          <w:szCs w:val="21"/>
        </w:rPr>
      </w:pPr>
      <w:r>
        <w:rPr>
          <w:rFonts w:hint="eastAsia" w:ascii="宋体" w:hAnsi="宋体" w:eastAsia="宋体" w:cs="宋体"/>
          <w:spacing w:val="11"/>
          <w:sz w:val="21"/>
          <w:szCs w:val="21"/>
        </w:rPr>
        <w:t>C.公共选择论​</w:t>
      </w:r>
    </w:p>
    <w:p w14:paraId="29C9E786">
      <w:pPr>
        <w:rPr>
          <w:rFonts w:hint="eastAsia" w:ascii="宋体" w:hAnsi="宋体" w:eastAsia="宋体" w:cs="宋体"/>
          <w:spacing w:val="11"/>
          <w:sz w:val="21"/>
          <w:szCs w:val="21"/>
        </w:rPr>
      </w:pPr>
      <w:r>
        <w:rPr>
          <w:rFonts w:hint="eastAsia" w:ascii="宋体" w:hAnsi="宋体" w:eastAsia="宋体" w:cs="宋体"/>
          <w:spacing w:val="11"/>
          <w:sz w:val="21"/>
          <w:szCs w:val="21"/>
        </w:rPr>
        <w:t>D.管制供求论​</w:t>
      </w:r>
    </w:p>
    <w:p w14:paraId="5AE441AE">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spacing w:val="11"/>
          <w:sz w:val="21"/>
          <w:szCs w:val="21"/>
        </w:rPr>
        <w:t>C​</w:t>
      </w:r>
    </w:p>
    <w:p w14:paraId="19B98039">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spacing w:val="11"/>
          <w:sz w:val="21"/>
          <w:szCs w:val="21"/>
        </w:rPr>
        <w:t>公共选择论将金融监管视为政治过程，强调各利益集团在监管政策制定中的作用，认为金融监管不仅是经济问题，更是政治问题。其他选项中，社会利益论关注维护社会整体利益，金融风险论强调金融体系的脆弱性，管制供求论分析监管的供需关系，均不符合题意。​</w:t>
      </w:r>
    </w:p>
    <w:p w14:paraId="2C70DB0D">
      <w:pPr>
        <w:rPr>
          <w:rFonts w:hint="eastAsia" w:ascii="宋体" w:hAnsi="宋体" w:eastAsia="宋体" w:cs="宋体"/>
          <w:spacing w:val="11"/>
          <w:sz w:val="21"/>
          <w:szCs w:val="21"/>
        </w:rPr>
      </w:pPr>
    </w:p>
    <w:p w14:paraId="23F634A4">
      <w:pPr>
        <w:rPr>
          <w:rFonts w:hint="eastAsia" w:ascii="宋体" w:hAnsi="宋体" w:eastAsia="宋体" w:cs="宋体"/>
          <w:spacing w:val="11"/>
          <w:sz w:val="21"/>
          <w:szCs w:val="21"/>
          <w:lang w:eastAsia="zh-CN"/>
        </w:rPr>
      </w:pPr>
      <w:r>
        <w:rPr>
          <w:rFonts w:hint="eastAsia" w:ascii="宋体" w:hAnsi="宋体" w:eastAsia="宋体" w:cs="宋体"/>
          <w:spacing w:val="11"/>
          <w:sz w:val="21"/>
          <w:szCs w:val="21"/>
          <w:lang w:val="en-US" w:eastAsia="zh-CN"/>
        </w:rPr>
        <w:t>2.</w:t>
      </w:r>
      <w:r>
        <w:rPr>
          <w:rFonts w:hint="eastAsia" w:ascii="宋体" w:hAnsi="宋体" w:eastAsia="宋体" w:cs="宋体"/>
          <w:spacing w:val="11"/>
          <w:sz w:val="21"/>
          <w:szCs w:val="21"/>
        </w:rPr>
        <w:t>认为金融监管的核心目标是维护社会整体利益，纠正市场失灵的理论是</w:t>
      </w:r>
      <w:r>
        <w:rPr>
          <w:rFonts w:hint="eastAsia" w:ascii="宋体" w:hAnsi="宋体" w:eastAsia="宋体" w:cs="宋体"/>
          <w:spacing w:val="11"/>
          <w:sz w:val="21"/>
          <w:szCs w:val="21"/>
          <w:lang w:eastAsia="zh-CN"/>
        </w:rPr>
        <w:t>（  ）。</w:t>
      </w:r>
    </w:p>
    <w:p w14:paraId="326FF368">
      <w:pPr>
        <w:rPr>
          <w:rFonts w:hint="eastAsia" w:ascii="宋体" w:hAnsi="宋体" w:eastAsia="宋体" w:cs="宋体"/>
          <w:spacing w:val="11"/>
          <w:sz w:val="21"/>
          <w:szCs w:val="21"/>
        </w:rPr>
      </w:pPr>
      <w:r>
        <w:rPr>
          <w:rFonts w:hint="eastAsia" w:ascii="宋体" w:hAnsi="宋体" w:eastAsia="宋体" w:cs="宋体"/>
          <w:spacing w:val="11"/>
          <w:sz w:val="21"/>
          <w:szCs w:val="21"/>
        </w:rPr>
        <w:t>A.投资者利益保护论​</w:t>
      </w:r>
    </w:p>
    <w:p w14:paraId="1792C911">
      <w:pPr>
        <w:rPr>
          <w:rFonts w:hint="eastAsia" w:ascii="宋体" w:hAnsi="宋体" w:eastAsia="宋体" w:cs="宋体"/>
          <w:spacing w:val="11"/>
          <w:sz w:val="21"/>
          <w:szCs w:val="21"/>
        </w:rPr>
      </w:pPr>
      <w:r>
        <w:rPr>
          <w:rFonts w:hint="eastAsia" w:ascii="宋体" w:hAnsi="宋体" w:eastAsia="宋体" w:cs="宋体"/>
          <w:spacing w:val="11"/>
          <w:sz w:val="21"/>
          <w:szCs w:val="21"/>
        </w:rPr>
        <w:t>B.社会利益论​</w:t>
      </w:r>
    </w:p>
    <w:p w14:paraId="06182FBB">
      <w:pPr>
        <w:rPr>
          <w:rFonts w:hint="eastAsia" w:ascii="宋体" w:hAnsi="宋体" w:eastAsia="宋体" w:cs="宋体"/>
          <w:spacing w:val="11"/>
          <w:sz w:val="21"/>
          <w:szCs w:val="21"/>
        </w:rPr>
      </w:pPr>
      <w:r>
        <w:rPr>
          <w:rFonts w:hint="eastAsia" w:ascii="宋体" w:hAnsi="宋体" w:eastAsia="宋体" w:cs="宋体"/>
          <w:spacing w:val="11"/>
          <w:sz w:val="21"/>
          <w:szCs w:val="21"/>
        </w:rPr>
        <w:t>C.金融风险论​</w:t>
      </w:r>
    </w:p>
    <w:p w14:paraId="404B02D3">
      <w:pPr>
        <w:rPr>
          <w:rFonts w:hint="eastAsia" w:ascii="宋体" w:hAnsi="宋体" w:eastAsia="宋体" w:cs="宋体"/>
          <w:spacing w:val="11"/>
          <w:sz w:val="21"/>
          <w:szCs w:val="21"/>
        </w:rPr>
      </w:pPr>
      <w:r>
        <w:rPr>
          <w:rFonts w:hint="eastAsia" w:ascii="宋体" w:hAnsi="宋体" w:eastAsia="宋体" w:cs="宋体"/>
          <w:spacing w:val="11"/>
          <w:sz w:val="21"/>
          <w:szCs w:val="21"/>
        </w:rPr>
        <w:t>D.管制供求论​</w:t>
      </w:r>
    </w:p>
    <w:p w14:paraId="7F07B3FE">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spacing w:val="11"/>
          <w:sz w:val="21"/>
          <w:szCs w:val="21"/>
        </w:rPr>
        <w:t>B​</w:t>
      </w:r>
    </w:p>
    <w:p w14:paraId="5888B5E4">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spacing w:val="11"/>
          <w:sz w:val="21"/>
          <w:szCs w:val="21"/>
        </w:rPr>
        <w:t>社会利益论明确指出，金融监管的核心目标是维护社会整体利益，纠正金融市场中因信息不对称、外部性和垄断等导致的市场失灵。投资者利益保护论主要关注保护投资者权益，金融风险论侧重金融体系的风险和脆弱性，管制供求论从供需角度分析监管，因此正确答案为B。​</w:t>
      </w:r>
    </w:p>
    <w:p w14:paraId="0AC7D9BE">
      <w:pPr>
        <w:rPr>
          <w:rFonts w:hint="eastAsia" w:ascii="宋体" w:hAnsi="宋体" w:eastAsia="宋体" w:cs="宋体"/>
          <w:spacing w:val="11"/>
          <w:sz w:val="21"/>
          <w:szCs w:val="21"/>
        </w:rPr>
      </w:pPr>
    </w:p>
    <w:p w14:paraId="689685C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3.下列说法中，属于金融监管机构实施有效监管基本原则的是（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A.监管主体的盈利性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B.监管主体的自律性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C.监管主体的独立性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D.监管主体的合规性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本题考查金融监管的基本原则。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金融监管的基本原则包括：监管主体独立性原则、依法监管原则、外部监管与自律并重原则、安全稳健与经营效率结合原则、适度竞争原则和统一性原则。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  ）为全国证券期货市场的主管机关。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A.中国人民银行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B.中国银行业协会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C.中国证监会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D.中国证券业协会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1E530B94">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1998年，国务院证券委员会和中国证券监督管理委员会合并，明确中国证券监督管理委员会为全国证券期货市场的主管机关。</w:t>
      </w:r>
    </w:p>
    <w:p w14:paraId="183D961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5.金融监管机构实施有效金融监管的基本前提是（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A.依法监管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B.保持适度竞争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C.监管主体的独立性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D.外部监管与自律监管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监管主体的独立性是金融监管机构实施有效金融监管的基本前提。金融监管是政策性、专业性、技术性很强的活动，涉及面较广且复杂，如果不是独立性很强的专门机构，其监管过程和目标容易受到来自不同方面利益主体的干扰，难以公正、公平、有效地进行金融监管，达到所需监管目标。</w:t>
      </w:r>
    </w:p>
    <w:p w14:paraId="5154115F">
      <w:pPr>
        <w:rPr>
          <w:rFonts w:hint="eastAsia" w:ascii="宋体" w:hAnsi="宋体" w:eastAsia="宋体" w:cs="宋体"/>
          <w:spacing w:val="11"/>
          <w:sz w:val="21"/>
          <w:szCs w:val="21"/>
        </w:rPr>
      </w:pPr>
    </w:p>
    <w:p w14:paraId="5BDF1FB8">
      <w:pPr>
        <w:rPr>
          <w:rFonts w:hint="eastAsia" w:ascii="宋体" w:hAnsi="宋体" w:eastAsia="宋体" w:cs="宋体"/>
          <w:b/>
          <w:bCs/>
          <w:spacing w:val="11"/>
          <w:sz w:val="21"/>
          <w:szCs w:val="21"/>
        </w:rPr>
      </w:pP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b/>
          <w:bCs/>
          <w:spacing w:val="11"/>
          <w:sz w:val="21"/>
          <w:szCs w:val="21"/>
        </w:rPr>
        <w:t>​</w:t>
      </w:r>
    </w:p>
    <w:p w14:paraId="02AC6D73">
      <w:pPr>
        <w:rPr>
          <w:rFonts w:hint="eastAsia" w:ascii="宋体" w:hAnsi="宋体" w:eastAsia="宋体" w:cs="宋体"/>
          <w:spacing w:val="11"/>
          <w:sz w:val="21"/>
          <w:szCs w:val="21"/>
        </w:rPr>
      </w:pPr>
      <w:r>
        <w:rPr>
          <w:rFonts w:hint="eastAsia" w:ascii="宋体" w:hAnsi="宋体" w:eastAsia="宋体" w:cs="宋体"/>
          <w:spacing w:val="11"/>
          <w:sz w:val="21"/>
          <w:szCs w:val="21"/>
          <w:lang w:val="en-US" w:eastAsia="zh-CN"/>
        </w:rPr>
        <w:t>1.</w:t>
      </w:r>
      <w:r>
        <w:rPr>
          <w:rFonts w:hint="eastAsia" w:ascii="宋体" w:hAnsi="宋体" w:eastAsia="宋体" w:cs="宋体"/>
          <w:spacing w:val="11"/>
          <w:sz w:val="21"/>
          <w:szCs w:val="21"/>
        </w:rPr>
        <w:t>下列属于金融监管理论依据的有</w:t>
      </w:r>
      <w:r>
        <w:rPr>
          <w:rFonts w:hint="eastAsia" w:ascii="宋体" w:hAnsi="宋体" w:eastAsia="宋体" w:cs="宋体"/>
          <w:spacing w:val="11"/>
          <w:sz w:val="21"/>
          <w:szCs w:val="21"/>
          <w:lang w:eastAsia="zh-CN"/>
        </w:rPr>
        <w:t>（  ）。</w:t>
      </w:r>
      <w:r>
        <w:rPr>
          <w:rFonts w:hint="eastAsia" w:ascii="宋体" w:hAnsi="宋体" w:eastAsia="宋体" w:cs="宋体"/>
          <w:spacing w:val="11"/>
          <w:sz w:val="21"/>
          <w:szCs w:val="21"/>
        </w:rPr>
        <w:t>​</w:t>
      </w:r>
    </w:p>
    <w:p w14:paraId="48488F78">
      <w:pPr>
        <w:rPr>
          <w:rFonts w:hint="eastAsia" w:ascii="宋体" w:hAnsi="宋体" w:eastAsia="宋体" w:cs="宋体"/>
          <w:spacing w:val="11"/>
          <w:sz w:val="21"/>
          <w:szCs w:val="21"/>
        </w:rPr>
      </w:pPr>
      <w:r>
        <w:rPr>
          <w:rFonts w:hint="eastAsia" w:ascii="宋体" w:hAnsi="宋体" w:eastAsia="宋体" w:cs="宋体"/>
          <w:spacing w:val="11"/>
          <w:sz w:val="21"/>
          <w:szCs w:val="21"/>
        </w:rPr>
        <w:t>A.社会利益论​</w:t>
      </w:r>
    </w:p>
    <w:p w14:paraId="5DA7EBC3">
      <w:pPr>
        <w:rPr>
          <w:rFonts w:hint="eastAsia" w:ascii="宋体" w:hAnsi="宋体" w:eastAsia="宋体" w:cs="宋体"/>
          <w:spacing w:val="11"/>
          <w:sz w:val="21"/>
          <w:szCs w:val="21"/>
        </w:rPr>
      </w:pPr>
      <w:r>
        <w:rPr>
          <w:rFonts w:hint="eastAsia" w:ascii="宋体" w:hAnsi="宋体" w:eastAsia="宋体" w:cs="宋体"/>
          <w:spacing w:val="11"/>
          <w:sz w:val="21"/>
          <w:szCs w:val="21"/>
        </w:rPr>
        <w:t>B.金融风险论​</w:t>
      </w:r>
    </w:p>
    <w:p w14:paraId="3F20999F">
      <w:pPr>
        <w:rPr>
          <w:rFonts w:hint="eastAsia" w:ascii="宋体" w:hAnsi="宋体" w:eastAsia="宋体" w:cs="宋体"/>
          <w:spacing w:val="11"/>
          <w:sz w:val="21"/>
          <w:szCs w:val="21"/>
        </w:rPr>
      </w:pPr>
      <w:r>
        <w:rPr>
          <w:rFonts w:hint="eastAsia" w:ascii="宋体" w:hAnsi="宋体" w:eastAsia="宋体" w:cs="宋体"/>
          <w:spacing w:val="11"/>
          <w:sz w:val="21"/>
          <w:szCs w:val="21"/>
        </w:rPr>
        <w:t>C.投资者利益保护论​</w:t>
      </w:r>
    </w:p>
    <w:p w14:paraId="5DD67C64">
      <w:pPr>
        <w:rPr>
          <w:rFonts w:hint="eastAsia" w:ascii="宋体" w:hAnsi="宋体" w:eastAsia="宋体" w:cs="宋体"/>
          <w:spacing w:val="11"/>
          <w:sz w:val="21"/>
          <w:szCs w:val="21"/>
        </w:rPr>
      </w:pPr>
      <w:r>
        <w:rPr>
          <w:rFonts w:hint="eastAsia" w:ascii="宋体" w:hAnsi="宋体" w:eastAsia="宋体" w:cs="宋体"/>
          <w:spacing w:val="11"/>
          <w:sz w:val="21"/>
          <w:szCs w:val="21"/>
        </w:rPr>
        <w:t>D.管制供求论​</w:t>
      </w:r>
    </w:p>
    <w:p w14:paraId="13F26C75">
      <w:pPr>
        <w:rPr>
          <w:rFonts w:hint="eastAsia" w:ascii="宋体" w:hAnsi="宋体" w:eastAsia="宋体" w:cs="宋体"/>
          <w:spacing w:val="11"/>
          <w:sz w:val="21"/>
          <w:szCs w:val="21"/>
        </w:rPr>
      </w:pPr>
      <w:r>
        <w:rPr>
          <w:rFonts w:hint="eastAsia" w:ascii="宋体" w:hAnsi="宋体" w:eastAsia="宋体" w:cs="宋体"/>
          <w:spacing w:val="11"/>
          <w:sz w:val="21"/>
          <w:szCs w:val="21"/>
        </w:rPr>
        <w:t>E.公共选择论​</w:t>
      </w:r>
    </w:p>
    <w:p w14:paraId="153795DA">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spacing w:val="11"/>
          <w:sz w:val="21"/>
          <w:szCs w:val="21"/>
        </w:rPr>
        <w:t>ABCDE​</w:t>
      </w:r>
    </w:p>
    <w:p w14:paraId="0E24ABE7">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spacing w:val="11"/>
          <w:sz w:val="21"/>
          <w:szCs w:val="21"/>
        </w:rPr>
        <w:t>金融监管的理论依据主要包括社会利益论、金融风险论、投资者利益保护论、管制供求论和公共选择论，这五种理论从不同角度阐述了金融监管的必要性和相关原理，因此上述选项均正确。​</w:t>
      </w:r>
    </w:p>
    <w:p w14:paraId="033A87A5">
      <w:pPr>
        <w:rPr>
          <w:rFonts w:hint="eastAsia" w:ascii="宋体" w:hAnsi="宋体" w:eastAsia="宋体" w:cs="宋体"/>
          <w:spacing w:val="11"/>
          <w:sz w:val="21"/>
          <w:szCs w:val="21"/>
        </w:rPr>
      </w:pPr>
    </w:p>
    <w:p w14:paraId="2B7B49D3">
      <w:pPr>
        <w:rPr>
          <w:rFonts w:hint="eastAsia" w:ascii="宋体" w:hAnsi="宋体" w:eastAsia="宋体" w:cs="宋体"/>
          <w:spacing w:val="11"/>
          <w:sz w:val="21"/>
          <w:szCs w:val="21"/>
        </w:rPr>
      </w:pPr>
      <w:r>
        <w:rPr>
          <w:rFonts w:hint="eastAsia" w:ascii="宋体" w:hAnsi="宋体" w:eastAsia="宋体" w:cs="宋体"/>
          <w:spacing w:val="11"/>
          <w:sz w:val="21"/>
          <w:szCs w:val="21"/>
          <w:lang w:val="en-US" w:eastAsia="zh-CN"/>
        </w:rPr>
        <w:t>2.</w:t>
      </w:r>
      <w:r>
        <w:rPr>
          <w:rFonts w:hint="eastAsia" w:ascii="宋体" w:hAnsi="宋体" w:eastAsia="宋体" w:cs="宋体"/>
          <w:spacing w:val="11"/>
          <w:sz w:val="21"/>
          <w:szCs w:val="21"/>
        </w:rPr>
        <w:t>关于金融风险论，下列说法正确的有</w:t>
      </w:r>
      <w:r>
        <w:rPr>
          <w:rFonts w:hint="eastAsia" w:ascii="宋体" w:hAnsi="宋体" w:eastAsia="宋体" w:cs="宋体"/>
          <w:spacing w:val="11"/>
          <w:sz w:val="21"/>
          <w:szCs w:val="21"/>
          <w:lang w:eastAsia="zh-CN"/>
        </w:rPr>
        <w:t>（  ）。</w:t>
      </w:r>
      <w:r>
        <w:rPr>
          <w:rFonts w:hint="eastAsia" w:ascii="宋体" w:hAnsi="宋体" w:eastAsia="宋体" w:cs="宋体"/>
          <w:spacing w:val="11"/>
          <w:sz w:val="21"/>
          <w:szCs w:val="21"/>
        </w:rPr>
        <w:t>​</w:t>
      </w:r>
    </w:p>
    <w:p w14:paraId="110E71B6">
      <w:pPr>
        <w:rPr>
          <w:rFonts w:hint="eastAsia" w:ascii="宋体" w:hAnsi="宋体" w:eastAsia="宋体" w:cs="宋体"/>
          <w:spacing w:val="11"/>
          <w:sz w:val="21"/>
          <w:szCs w:val="21"/>
        </w:rPr>
      </w:pPr>
      <w:r>
        <w:rPr>
          <w:rFonts w:hint="eastAsia" w:ascii="宋体" w:hAnsi="宋体" w:eastAsia="宋体" w:cs="宋体"/>
          <w:spacing w:val="11"/>
          <w:sz w:val="21"/>
          <w:szCs w:val="21"/>
        </w:rPr>
        <w:t>A.强调金融体系的内在脆弱性​</w:t>
      </w:r>
    </w:p>
    <w:p w14:paraId="55FFE78C">
      <w:pPr>
        <w:rPr>
          <w:rFonts w:hint="eastAsia" w:ascii="宋体" w:hAnsi="宋体" w:eastAsia="宋体" w:cs="宋体"/>
          <w:spacing w:val="11"/>
          <w:sz w:val="21"/>
          <w:szCs w:val="21"/>
        </w:rPr>
      </w:pPr>
      <w:r>
        <w:rPr>
          <w:rFonts w:hint="eastAsia" w:ascii="宋体" w:hAnsi="宋体" w:eastAsia="宋体" w:cs="宋体"/>
          <w:spacing w:val="11"/>
          <w:sz w:val="21"/>
          <w:szCs w:val="21"/>
        </w:rPr>
        <w:t>B.认为金融风险具有高度的复杂性和不确定性​</w:t>
      </w:r>
    </w:p>
    <w:p w14:paraId="5354D391">
      <w:pPr>
        <w:rPr>
          <w:rFonts w:hint="eastAsia" w:ascii="宋体" w:hAnsi="宋体" w:eastAsia="宋体" w:cs="宋体"/>
          <w:spacing w:val="11"/>
          <w:sz w:val="21"/>
          <w:szCs w:val="21"/>
        </w:rPr>
      </w:pPr>
      <w:r>
        <w:rPr>
          <w:rFonts w:hint="eastAsia" w:ascii="宋体" w:hAnsi="宋体" w:eastAsia="宋体" w:cs="宋体"/>
          <w:spacing w:val="11"/>
          <w:sz w:val="21"/>
          <w:szCs w:val="21"/>
        </w:rPr>
        <w:t>C.单个金融机构的风险可能引发系统性危机​</w:t>
      </w:r>
    </w:p>
    <w:p w14:paraId="618046BA">
      <w:pPr>
        <w:rPr>
          <w:rFonts w:hint="eastAsia" w:ascii="宋体" w:hAnsi="宋体" w:eastAsia="宋体" w:cs="宋体"/>
          <w:spacing w:val="11"/>
          <w:sz w:val="21"/>
          <w:szCs w:val="21"/>
        </w:rPr>
      </w:pPr>
      <w:r>
        <w:rPr>
          <w:rFonts w:hint="eastAsia" w:ascii="宋体" w:hAnsi="宋体" w:eastAsia="宋体" w:cs="宋体"/>
          <w:spacing w:val="11"/>
          <w:sz w:val="21"/>
          <w:szCs w:val="21"/>
        </w:rPr>
        <w:t>D.监管手段包括风险监控、压力测试等​</w:t>
      </w:r>
    </w:p>
    <w:p w14:paraId="111639B7">
      <w:pPr>
        <w:rPr>
          <w:rFonts w:hint="eastAsia" w:ascii="宋体" w:hAnsi="宋体" w:eastAsia="宋体" w:cs="宋体"/>
          <w:spacing w:val="11"/>
          <w:sz w:val="21"/>
          <w:szCs w:val="21"/>
        </w:rPr>
      </w:pPr>
      <w:r>
        <w:rPr>
          <w:rFonts w:hint="eastAsia" w:ascii="宋体" w:hAnsi="宋体" w:eastAsia="宋体" w:cs="宋体"/>
          <w:spacing w:val="11"/>
          <w:sz w:val="21"/>
          <w:szCs w:val="21"/>
        </w:rPr>
        <w:t>E.只关注单个机构的风险，不关注系统性风险​</w:t>
      </w:r>
    </w:p>
    <w:p w14:paraId="24393131">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spacing w:val="11"/>
          <w:sz w:val="21"/>
          <w:szCs w:val="21"/>
        </w:rPr>
        <w:t>ABCD​</w:t>
      </w:r>
    </w:p>
    <w:p w14:paraId="6925301E">
      <w:pPr>
        <w:rPr>
          <w:rFonts w:hint="eastAsia" w:ascii="宋体" w:hAnsi="宋体" w:eastAsia="宋体" w:cs="宋体"/>
          <w:spacing w:val="11"/>
          <w:sz w:val="21"/>
          <w:szCs w:val="21"/>
        </w:rPr>
      </w:pP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spacing w:val="11"/>
          <w:sz w:val="21"/>
          <w:szCs w:val="21"/>
        </w:rPr>
        <w:t>金融风险论强调金融体系的内在脆弱性，认为金融风险具有高度的复杂性和不确定性，且单个金融机构的风险可能通过多种途径扩散引发系统性危机，监管手段包括风险监控、压力测试和资本缓冲等。同时，该理论特别关注系统性风险，而非只关注单个机构的风险，因此E选项错误，其余选项均正确。</w:t>
      </w:r>
    </w:p>
    <w:p w14:paraId="0EEAF32C">
      <w:pPr>
        <w:rPr>
          <w:rFonts w:hint="eastAsia" w:ascii="宋体" w:hAnsi="宋体" w:eastAsia="宋体" w:cs="宋体"/>
          <w:spacing w:val="11"/>
          <w:sz w:val="21"/>
          <w:szCs w:val="21"/>
        </w:rPr>
      </w:pPr>
    </w:p>
    <w:p w14:paraId="65272A97">
      <w:pPr>
        <w:rPr>
          <w:rFonts w:hint="eastAsia" w:ascii="宋体" w:hAnsi="宋体" w:eastAsia="宋体" w:cs="宋体"/>
          <w:spacing w:val="11"/>
          <w:sz w:val="21"/>
          <w:szCs w:val="21"/>
        </w:rPr>
      </w:pP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.金融监管的基本原则包括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A.适度竞争原则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B.统一性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C.安全稳健与经营效率结合原则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D.平等性原则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E.风险收益原则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金融监管的基本原则包括:①监管主体独立性原则;②依法监管原则。③外部监管与自律并重原则;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C正确：④安全稳健与经营效率结合原则;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A正确：⑤适度竞争原则;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B正确：⑥统一性原则。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.下列属于金融监管基本原则的有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A.统一性原则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B.单纯追求利益原则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C.监管主体独立性原则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D.适度竞争原则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E.外部监管与自律并重原则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本题考查金融监管基本原则。金融监管基本原则有：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C正确：(1)监管主体独立性原则；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(2)依法监管原则；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E正确：(3)外部监管与自律并重原则；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(4)安全稳健与经营效率结合原则；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D正确：(5)适度竞争原则；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A正确：(6)统一性原则。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综上，该题选ACDE。</w:t>
      </w:r>
      <w:r>
        <w:rPr>
          <w:rFonts w:hint="eastAsia" w:ascii="宋体" w:hAnsi="宋体" w:eastAsia="宋体" w:cs="宋体"/>
          <w:spacing w:val="11"/>
          <w:sz w:val="21"/>
          <w:szCs w:val="21"/>
        </w:rPr>
        <w:br w:type="page"/>
      </w:r>
    </w:p>
    <w:p w14:paraId="5E83AC4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金融监管国际协调</w:t>
      </w:r>
    </w:p>
    <w:p w14:paraId="7A99D61C">
      <w:pPr>
        <w:rPr>
          <w:rFonts w:hint="eastAsia" w:ascii="宋体" w:hAnsi="宋体" w:eastAsia="宋体" w:cs="宋体"/>
          <w:spacing w:val="11"/>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1.巴塞尔协议Ⅲ规定，全球各商业银行普通股权益资本最低比例由2%提升至</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A.4.5%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C.5.5%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D.6.0%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巴塞尔协议Ⅲ规定，全球各商业银行必须将一级资本充足的下限由4%提高到6%；要求普通股权益资本最低比例由2%提升至4.5%。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用来计量银行是否具有与其流动性风险状况相匹配、确保各项资产和业务融资要求的稳定资金来源。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A.流动性覆盖比率(LCR)</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B.净稳定资金比例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D.资产负债比率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A错误：流动性覆盖比率用来计量在短期极端压力情景下，银行所持有的元变现障碍的、优质的流动性资产的数量，以衡量其是否足以应对此情景下的资金净流出。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B正确：净稳定资金比例(NSFR)用来计量银行是否具有与其流动性风险状况相匹配、确保各项资产和业务融资要求的稳定资金来源。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CD错误：干扰选项，教材上不涉及该项内容。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3.“巴塞尔协议Ⅱ”的最低资本要求涵盖了信用风险、市场风险和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A.汇率风险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B.利率风险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C.法律风险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D.操作风险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“巴塞尔协议Ⅱ”的最低资本要求是：最低资本充足率要达到8％，核心资本充足率要求为4％，并将最低资本要求由涵盖信用风险拓展到全面涵盖信用风险、市场风险和操作风险。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4.“巴塞尔协议Ⅲ”要求商业银行设立储备资本，其总额不得低于银行风险资产的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“巴塞尔协议Ⅲ”要求商业银行设立储备资本，其总额不得低于银行风险资产的2.5％。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5.为使资本充足率与商业银行面对的主要风险更加紧密地联系在一起，“巴塞尔协议Ⅱ”在最低资本要求中，提出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A.外部评级法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B.流动性状况评价法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C.内部评级法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D.资产安全状况评级法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“巴塞尔协议Ⅱ”在最低资本要求中，提出内部评级法，使资本充足率与银行面对的主要风险更紧密地联系在一起。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6.在1988年巴塞尔协议中，资本不足的商业银行是指总资本充足率不足8％，或核心资本充足率不足</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资本不足的商业银行是指核心资本充足率不足4％，总资本充足率不足8％。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7.“巴塞尔协议Ⅲ”要求资本充足率加资本缓冲比率在2019年以前从8％逐步升至</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A.9％</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B.9.5％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D.10.5％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“巴塞尔协议Ⅲ”规定，建立风险加权资产2.5%的储备资本和0～2.5％的逆周期资本缓冲。要求资本充足率加资本缓冲比率在2019年以前从8％逐步升至10.5％。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8.2004年出台的“巴塞尔协议Ⅱ”融入了</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的理念和要求，标志着商业银行的风险管理出现了显著的变化。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A.信用风险管理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B.全面风险管理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C.市场约束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D.提高资本充足率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巴塞尔委员会重点关注和推行商业银行的全面风险管理，在2004年6月公布的巴塞尔协议‖中就融入了全面风险管理的理念和要求，标志着商业银行的风险管理出现了显著的变化。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.COSO在其《内部控制一整合框架》中正式提出了内部控制由五项要素组成，下列属于这五项要素的有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A.控制环境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B.风险评估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C.公平竞争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D.信息与沟通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E.监督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COSO在其《内部控制一整合框架》中正式提出了内部控制由五项要素组成，即控制环境、风险评估、控制活动、信息与沟通、监督。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.“巴塞尔协议Ⅲ”对“巴塞尔协议Ⅱ”的发展和完善主要体现在</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A.降低资本充足率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B.重新界定监管资本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C.提出信息披露要求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D.引入杠杆率监管标准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E.安排充裕的过渡期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“巴塞尔协议Ⅲ”对“巴塞尔协议Ⅱ”的发展和完善主要体现在：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B正确：①重新界定监管资本；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A错误：②提高资本充足率；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C错误：③提出“资本缓冲”要求；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D正确：④引入杠杆率监管标准；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⑤增加流动性监管要求；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.第二次世界大战结束之后特别是进入二十世纪六七十年代金融国际化飞速发展，表现在</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A.银行机构的集中化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B.欧洲货币市场的形成和发展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C.金融市场的国际化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D.国际金融业务创新的普及化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E.银行机构的国际化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第二次世界大战结束之后特别是进入二十世纪六七十年代金融国际化飞速发展，表现在银行机构的国际化和网络化、欧洲货币市场的形成和发展、金融市场的国际化、国际金融业务创新的普及化等。</w:t>
      </w:r>
      <w:r>
        <w:rPr>
          <w:rFonts w:hint="eastAsia" w:ascii="宋体" w:hAnsi="宋体" w:eastAsia="宋体" w:cs="宋体"/>
          <w:spacing w:val="11"/>
          <w:sz w:val="21"/>
          <w:szCs w:val="21"/>
        </w:rPr>
        <w:br w:type="page"/>
      </w:r>
    </w:p>
    <w:p w14:paraId="5A63D56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中国金融监管体系</w:t>
      </w:r>
    </w:p>
    <w:p w14:paraId="44F29AB4">
      <w:pPr>
        <w:widowControl w:val="0"/>
        <w:numPr>
          <w:ilvl w:val="0"/>
          <w:numId w:val="0"/>
        </w:numPr>
        <w:jc w:val="both"/>
        <w:rPr>
          <w:rFonts w:hint="eastAsia" w:ascii="宋体" w:hAnsi="宋体" w:eastAsia="宋体" w:cs="宋体"/>
          <w:spacing w:val="-89"/>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1.根据我国《商业银行流动性风险管理办法》，商业银行流动性覆盖率应当不低于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C.75％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《商业银行流动性风险管理办法》明确商业银行流动性覆盖率、净稳定资金比例、流动性匹配率、优质流动性资产充足率应当不低于100%，流动性比例应当不低于25%。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2.非现场监督是监管当局分析银行机构经营稳健性和安全性的一种方式，其基础是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A.针对银行体系并表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B.针对银行体系分表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C.针对单个银行并表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D.针对单个银行分表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本题考查非现场监督的概念。非现场监督是监管当局针对单个银行，在并表的基础上收集、分析银行机构经营稳健性和安全性的一种方式。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3.保险公司与投保人、被保险人及受益人通过保险合同建立的主体间的权利义务法律关系，适用保险</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法律规范。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B.刑事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C.民事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D.行政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保险公司与投保人、被保险人及受益人通过保险合同建立的主体间的权利义务法律关系,适用保险民事法律规范。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4.根据《商业银行风险监管核心指标》。不良资产率是我国衡量商业银行资产安全性的指标。它是指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A.不良资产与资产总额之比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B.不良资产与风险加权资产总额之比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C.不良贷款与贷款总额之比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D.不良贷款与风险资产总额之比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本题考查不良资产率的概念。不良资产率是不良资产与资产总额之比。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5.以下不属于市场准入监管的是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A.审批资本充足率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B.审批注册机构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C.审批注册资本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D.审批董事和高级管理人员的任职资格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本题考查市场准入监管的环节。市场准入监管包括以下环节：审批注册机构、审批注册资本、审批董事和高级管理人员的任职资格、审批业务范围。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6.贷款拨备率为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A.贷款损失准备与不良贷款余额之比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B.贷款损失准备与各项贷款余额之比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C.各项贷款余额与贷款损失准备之比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D.不良贷款余额与贷款损失准备之比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本题考查贷款拨备率的概念。贷款拨备率为贷款损失准备与各项贷款余额之比。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7.清算是终结解散银行法律关系、消灭解散银行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的程序。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A.经营资格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B.法人资格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C.存款资格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D.贷款资格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本题考查清算的概念。清算是终结解散银行法律关系、消灭解散银行法人资格的程序。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8.我国自2001年3月开始对证券的发行正式实行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A.核准制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B.注册制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C.审批制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D.批复制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本题考查我国证券发行监管的方式。我国自2001年3月开始对证券的发行正式实行核准制。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9.在下列法律关系中，属于保险行政法律规范的是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A.保险公司与投保人之间的权利义务法律关系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B.被保险人与受益人之间的权利义务法律关系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C.保险公司与保险代理人之间的权利义务法律关系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D.保险监管机构与保险人之间的法律关系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本题考查保险业监管的法律法规体系。保险监管机构与保险人之间的法律规范关系属于保险行政法律规范。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10.《商业银行流动性风险管理办法》中,关于流动性风险指标的说法正确的是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A.商业银行流动性覆盖率不低于25%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B.流动性比例不低于25%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C.净稳定资金比例不低于25%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D.流动性匹配率不低于25%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流动性风险指标包括流动性覆盖率、净稳定资金比例、流动性匹配率、优质流动性资产充足率和流动性比例。《商业银行流动性风险管理办法》明确商业银行流动性覆盖率、净稳定资金比例、流动性匹配率、优质流动性资产充足率应当不低于100%，流动性比例应当不低于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11.根据《商业银行风险监管核心指标》，我国商业银行的不良贷款率，即不良贷款与贷款总额之比不得超过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本题考查不良贷款率的指标。不良贷款率，即不良贷款与贷款总额之比，不得高于5％。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12.中国证监会对证券公司进行综合评价，根据证券公司评价计分的高低，将证券公司分为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大类</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个级别。</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A.3；6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B.3；10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C.5；8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D.5；11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中国证监会对证券公司进行综合评价，根据证券公司评价计分的高低，将证券公司分为A（AAA、AA、A）、B（BBB、BB、B）、C（CCC、CC、C）、D、E五大类11个级别。</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13.根据2013年1月1日起施行的《商业银行资本管理办法(试行)》，商业银行一级资本充足率的最低要求为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根据2013年1月1日起施行的《商业银行资本管理办法(试行)》，商业银行各级资本充足率不得低于如下最低要求：核心一级资本充足率不得低于5%、一级资本充足率不得低于6%、资本充足率不得低于8%。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14.根据《商业银行风险监管核心指标(试行)》，我国银行机构的全部关联度，即全部关联授信与资本净额之比不应高于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商业银行风险监管核心指标(试行)》，信用风险指标具体包括：①不良资产率，即不良资产与资产总额之比，不得高于4％。②不良贷款率，即不良贷款与贷款总额之比，不得高于5％。③单一集团客户授信集中度．即对最大一家集团客户授信总额与资本净额之比，不得高于15％。④单一客户贷款集中度，即最大一家客户贷款总额与资本净额之比，不得高于10％。⑤全部关联度，即全部关联授信与资本净额之比，不应高于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15.在银行业监管中，现场检查的基础是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检查。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B.合规性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C.有效性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D.适宜性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银行业监管的基本方法包括：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①市场准入。市场准入是银行业监管的第一关。非现场监管。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②非现场监管建立在对单个银行并表的基础上，包括审查和分析各种报告和统计报表。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③现场检查。现场检查包括合规性和风险性检查两大方面。合规性检查永远是现场检查的基础。除了银行监管机构进行现场检查外，还可以委托外部力量来实施现场检查。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④并表监管。商业银行并表管理要素一般包括并表管理范围、业务协同、公司治理、全面风险管理、资本管理、集中度管理、内部交易管理和风险隔离等。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⑤监管评级。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16.根据《商业银行风险监管核心指标(试行)》，我国商业银行不良贷款率不得高于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根据《商业银行风险监管核心指标(试行)》，我国商业银行不良贷款率不得高于5％。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17.根据我国商业银行的贷款五级分类，下列不属于不良贷款的是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A.关注类贷款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B.次级类贷款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C.损失类贷款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D.可疑类贷款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目前采用的贷款五级分类方法，是根据风险发生的可能性，将贷款划分为正常、关注、次级、可疑、损失五个等级。不良贷款是五级分类的后三类，即次级类贷款、可疑类贷款和损失类贷款。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18.下列贷款中，不属于根据贷款五级分类所确定的不良贷款的是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A.逾期贷款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B.次级贷款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C.损失贷款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D.可疑贷款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目前采用的贷款五级分类方法，即把已经发放的贷款分为正常、关注、次级、可疑和损失五个等级，后三类贷款属于不良贷款。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19.证券公司应当有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名以上在证券业担任高级管理人员满2年的高级管理人员。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根据《证券公司监督管理条例》，证券公司应当有3名以上在证券业担任高级管理人员满2年的高级管理人员。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20.在市场经济条件下，银行机构必须以其</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来承担全部的风险和亏损。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C.负债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在市场经济条件下，银行机构必须以其资本来承担全部的风险和亏损。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21.单一客户贷款集中度不得高于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单一客户贷款集中度，即最大一家客户贷款总额与资本净额之比，不得高于10％。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22.我国目前对保险公司偿付能力的监管标准使用的是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A.最高偿付能力原则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B.合理偿付能力原则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C.最低偿付能力原则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D.国际偿付能力原则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我国目前对保险公司偿付能力的监管标准使用的是最低偿付能力原则。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23.证券发行者在公开发行债券或股票前，需按照法定程序向证券监管机构申请注册登记，同时提交相关资料，并对其所提供资料的真实性和可靠性承担法律责任的审核制度是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A.审批制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B.核准制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C.注册制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D.登记制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证券发行的审核制度分为两种：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C正确：注册制，证券发行者在公开发行债券或股票前，需按照法定程序向证券监管机构申请注册登记，同时提交相关资料，并对其所提供资料的真实性和可靠性承担法律责任；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B错误：核准制，证券监管机构需要对发行人及发行证券的实质内容加以审查，符合既定标准才能批准发行。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.银行业监管的内容主要包括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监管。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A.市场准入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B.市场退出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C.市场收益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D.市场资本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E.市场运营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银行业监管的内容主要包括市场准入监管、市场运营监管和市场退出监管。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.流动性风险指标包括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A.商业银行流动性覆盖率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B.净稳定资金比例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C.流动性匹配率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D.优质流动性资产充足率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E.正常贷款迁徙率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流动性风险管理办法》明确流动性风险监管指标包括流动性覆盖率、净稳定资金比例、流动性匹配率和优质流动性资产充足率(这四个指标均应当不低于100%)，以及流动性比例(应当不低于25%)，另外还有存贷比等监测指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.国际通行的贷款五级分类中，属于不良贷款的是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A.正常贷款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B.关注贷款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C.可疑贷款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D.次级贷款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E.损失贷款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本题考查五级贷款分类。国际通行的做法是将贷款分为五类：即正常贷款、关注贷款、次级贷款、可疑贷款、损失贷款，通常认为后三类贷款为不良贷款。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.下列关于我国衡量资产安全性的贷款质量指标的说法中，正确的有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A.不良资产率不得高于4％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B.不良贷款率不得高于5％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C.单一集团客户授信集中度不得高于15％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D.单一客户贷款集中度不得高于20％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E.全部关联度不得高于50％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本题考查我国衡量资产安全性指标的规定。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A正确：不良资产率不得高于4％；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B正确：不良贷款率不得高于5％；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C正确：单一集团客户授信集中度不得高于15％；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D错误：单一客户贷款集中度不得高于10％；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E正确：全部关联度不得高于50％。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.在监测银行机构的流动性是否保持在适度水平时，流动性风险指标包括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A.资本利润率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B.不良贷款率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C.流动性覆盖率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D.流动性比例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E.正常贷款迁徙率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监测银行机构的流动性是否保持在适度水平。流动性风险指标包括流动性覆盖率(选项C）、净稳定资金比例、流动性匹配率、优质流动性资产充足率和流动性比例（选项D）。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.国际上通行的“骆驼评级制度”的主要内容是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A.资本充足性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B.资产质量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C.负债质量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D.盈利水平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骆驼评级制度”的主要内容。目前，世界上很多国家的金融监管机构采用了“骆驼评级制度(CAMELS)”，围绕资本充足性、资产质量、经营管理能力、盈利水平、流动性及敏感性来对商业银行的全面状况进行检查和评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rPr>
        <w:t>.在银行业监管的方法中，现场检查内容一般包括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A.充分性检查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B.合规性检查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C.适宜性检查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D.有效性检查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E.风险性检查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本题考查银行业监管的方法中现场检查的内容。现场检查内容一般包括合规性和风险性检查两个大的方面。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8</w:t>
      </w:r>
      <w:r>
        <w:rPr>
          <w:rFonts w:hint="eastAsia" w:ascii="宋体" w:hAnsi="宋体" w:eastAsia="宋体" w:cs="宋体"/>
          <w:i w:val="0"/>
          <w:iCs w:val="0"/>
          <w:caps w:val="0"/>
          <w:color w:val="000000"/>
          <w:spacing w:val="0"/>
          <w:sz w:val="21"/>
          <w:szCs w:val="21"/>
        </w:rPr>
        <w:t>.2022年年初中国银保监会发布的非现场监管基础指标相关文件中，关于流动性的指标有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A.核心负债比例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B.单一集团客户授信集中度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C.流动性缺口率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D.累计外汇敞口头寸比例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E.流动性比例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CE正确：2022年年初中国银保监会发布的非现场监管基础指标相关文件中，关于流动性的指标有12项，分别是流动性比例、流动性覆盖率、净稳定资产比例、优质流动性资产充足率、流动性匹配率、流动性缺口率（90天）、核心负债率、人民币超额备付金率、存贷款比例（调整后）、最大十户存款比例、最大十家同业融入比例和同业融入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B错误：单一集团客户授信集中度属于信用风险指标。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9</w:t>
      </w:r>
      <w:r>
        <w:rPr>
          <w:rFonts w:hint="eastAsia" w:ascii="宋体" w:hAnsi="宋体" w:eastAsia="宋体" w:cs="宋体"/>
          <w:i w:val="0"/>
          <w:iCs w:val="0"/>
          <w:caps w:val="0"/>
          <w:color w:val="000000"/>
          <w:spacing w:val="0"/>
          <w:sz w:val="21"/>
          <w:szCs w:val="21"/>
        </w:rPr>
        <w:t>.在银行业的市场运营监管中，对银行的流动性进行监管的主要内容有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A.监测银行对关系人的贷款变化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B.监测银行的流动性是否保持在适度水平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C.监测银行资产负债的期限匹配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D.监测银行的资产变化情况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E.监测银行坏账和贷款准备金的变化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商业银行的流动性监管主要有以下内容：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B正确：①监测银行机构的流动性是否保持在适度水平。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C正确：②监测银行资产负债的期限匹配。监管当局须对银行的流动性资产、流动性负债、长期资产和长期负债以及资产负债的总体结构等。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D正确：③监测银行机构的资产变化情况，包括监测银行的长期投资、不良资产和盈亏变化等。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10</w:t>
      </w:r>
      <w:r>
        <w:rPr>
          <w:rFonts w:hint="eastAsia" w:ascii="宋体" w:hAnsi="宋体" w:eastAsia="宋体" w:cs="宋体"/>
          <w:i w:val="0"/>
          <w:iCs w:val="0"/>
          <w:caps w:val="0"/>
          <w:color w:val="000000"/>
          <w:spacing w:val="0"/>
          <w:sz w:val="21"/>
          <w:szCs w:val="21"/>
        </w:rPr>
        <w:t>.根据《商业银行贷款损失准备管理办法》，我国银行业监管机构设置</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指标考核商业银行贷款损失准备的充足率。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A.贷款拨备率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B.不良贷款率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D.拨备覆盖率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E.速动比率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本题考查市场运营监管。根据《商业银行贷款损失准备管理办法》，我国银行业监管机构设置贷款拨备率和拨备覆盖率指标考核商业银行贷款损失准备的充足率。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11</w:t>
      </w:r>
      <w:r>
        <w:rPr>
          <w:rFonts w:hint="eastAsia" w:ascii="宋体" w:hAnsi="宋体" w:eastAsia="宋体" w:cs="宋体"/>
          <w:i w:val="0"/>
          <w:iCs w:val="0"/>
          <w:caps w:val="0"/>
          <w:color w:val="000000"/>
          <w:spacing w:val="0"/>
          <w:sz w:val="21"/>
          <w:szCs w:val="21"/>
        </w:rPr>
        <w:t>.下列法律法规中．属于中国证券监督管理委员会证券监管法律法规体系中第一层次依据的有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A.《中华人民共和国公司法》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B.《中华人民共和证券法》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C.《证券登记结算管理办法》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D.《中华人民共和国证券投资基金法》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E.《证券发行与承销管理办法》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本题考查证券业监管的法律法规体系。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第一层次的依据是《中华人民共和国公司法》《中华人民共和国证券法》《中华人民共和国证券投资基金法》等法律;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第二层次是行政法规，包括《证券公司风险处置条例》《证券公司监督管理条例》等;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第三层次是部门规章，包括《证券登记结算管理办法》《证券发行与承销管理办法》等;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第四层次是关于机构、业务、人员、内部控制方面的监管规则，包括证券公司审批规则、证券公司分支机构审批规则等。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F43385"/>
    <w:rsid w:val="41D12ABA"/>
    <w:rsid w:val="4C602529"/>
    <w:rsid w:val="7F042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9236</Words>
  <Characters>9896</Characters>
  <Lines>0</Lines>
  <Paragraphs>0</Paragraphs>
  <TotalTime>3</TotalTime>
  <ScaleCrop>false</ScaleCrop>
  <LinksUpToDate>false</LinksUpToDate>
  <CharactersWithSpaces>10018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2025-08-13T11:01:00Z</dcterms:created>
  <dc:creator>go41</dc:creator>
  <cp:lastModifiedBy>玉生烟罗</cp:lastModifiedBy>
  <dcterms:modified xsi:type="dcterms:W3CDTF">2025-08-13T12:43:49Z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2A8673760AB04DF49D8DD5A37A6C1698_12</vt:lpwstr>
  </property>
</Properties>
</file>