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AD3D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w:t>
      </w:r>
      <w:r>
        <w:rPr>
          <w:rFonts w:hint="eastAsia" w:ascii="宋体" w:hAnsi="宋体" w:eastAsia="宋体" w:cs="宋体"/>
          <w:b/>
          <w:bCs/>
          <w:color w:val="0000FF"/>
          <w:spacing w:val="-6"/>
          <w:sz w:val="28"/>
          <w:szCs w:val="28"/>
          <w:lang w:val="en-US" w:eastAsia="zh-CN"/>
          <w14:ligatures w14:val="none"/>
        </w:rPr>
        <w:t xml:space="preserve"> 国际收支及其平衡</w:t>
      </w:r>
    </w:p>
    <w:p w14:paraId="0231CA7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1.当一国国际收支出现巨额顺差时，可行的政策选择是（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A.松的财政货币政策和本币贬值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B.松的财政货币政策和本币升值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C.紧的财政货币政策和本币贬值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D.紧的财政货币政策和本币升值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国际收支出现顺差时，可以采取松的财政政策、松的货币政策和本币法定升值或升值的政策。</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2.在理论上，可用来调节国际收支逆差的宏观经济政策是（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A.松的财政政策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B.松的货币政策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C.本币贬值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D.刺激进口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国际收支不均衡调节的宏观经济政策包括财政政策、货币政策和汇率政策。其中汇率政策，在国际收支逆差时，可以采用本币法定贬值或贬值的政策。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3.1996年12月1日，我国正式接受国际货币基金协定第八条款。这意味着，我国从此实现了人民币在（  ）项下可兑换。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A.商品项目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B.经常项目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C.资本项目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D.错误与遗漏项目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1996年12月我国实现了人民币经常项目可兑换，同时在资本项目下仍然实行外汇管理，初步建立了适应社会主义市场经济的外汇管理体制。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4.当一国出现国际收支顺差时，该国货币当局会投放本币，收购外汇，从而导致（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A.外汇储备增多，通货膨胀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B.外汇储备增多，通货紧缩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C.外汇储备减少，通货膨胀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D.外汇储备减少，通货紧缩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当国际收支顺差时，货币当局投放本币，收购外汇，补充外汇储备，导致通货膨胀。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5.在国际收支逆差时，可以采取（  ）的政策。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A.宽松的货币政策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B.向其他国家争取短期信用融资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C.取消外贸管制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D.本币法定升值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在国际收支逆差时，可以采取向国际货币基金组织或其他国家争取短期信用融资的应急措施或直接动用本国的国际储备。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6.我国于（  ）恢复在国际货币基金组织的正式席位。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A.1980年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B.1981年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C.1982年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D.1983年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我国于1980年恢复在国际货币基金组织的正式席位，并于1981年制定了我国首个国际收支统计制度。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7.差额数列在误差与遗漏净额的借方，发生在（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A.当借方总计大于贷方总计时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B.当贷方总计大于借方总计时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C.当数据来源不一致时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D.当统计时间和计价标准不一致时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当贷方总计大于借方总计时，差额数列在误差与遗漏净额的借方；当借方总计大于贷方总计时，差额数则列在误差与遗漏净额的贷方。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8.国际收支中最基本、最重要的账户类别是（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A.经常账户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B.资本账户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C.金融账户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D.贸易收支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经常账户是国际收支中最基本、最重要的账户类别，被世界各国广为使用，并被当作是制定国际收支政策和产业政策的重要依据。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9.如果出口额小于进口额，则称为（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A.贸易收支顺差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B.贸易收支逆差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C.贸易收支平衡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D.贸易收支缺口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若货物出口等于进口，称为贸易收支平衡；如果出口额小于进口额，则称贸易收支逆差；如果出口额大于进口额，则称为贸易收支顺差。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10.在一国的国际收支中，经常账户差额取决于该国的（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A.外贸-消费缺口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B.消费-投资缺口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C.外贸-储蓄缺口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D.储蓄-投资缺口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经常账户反映的是居民与非居民之间货币、服务、初次收入和二次收入的流量。经常账户差额等于经济体的储蓄-投资缺口，因此，经常账户差额与国内交易有关。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1.下列举措中，能够减少我国的国际收支顺差的有（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A.允许我国出口企业将外汇收入存放在境外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B.放宽我国企业对外直接投资的外汇管制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C.鼓励高科技的外资流入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D.限制低附加值的直接投资流入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E.严控国外投机热钱流入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57397BE0">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我国也对国际收支顺差采取了一些调节政策和措施。这些政策和措施包括：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A正确：①逐步放宽和取消经常项目下的外汇管制。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B正确：②逐步放宽资本项目下的外汇管制。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③降低对出口的激励范围和力度，改变外贸增长方式，调整外贸出口结构。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D正确：④优化利用外资结构，限制高耗能、重污染、附加值低的直接投资流人。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E正确：⑤对国外投机性的热钱流入，应采取密切监控的高压政策。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综上，该题选ABDE。</w:t>
      </w:r>
    </w:p>
    <w:p w14:paraId="1CAFB2FD">
      <w:pPr>
        <w:keepNext w:val="0"/>
        <w:keepLines w:val="0"/>
        <w:widowControl/>
        <w:suppressLineNumbers w:val="0"/>
        <w:jc w:val="left"/>
        <w:rPr>
          <w:rFonts w:hint="eastAsia" w:ascii="宋体" w:hAnsi="宋体" w:eastAsia="宋体" w:cs="宋体"/>
          <w:sz w:val="21"/>
          <w:szCs w:val="21"/>
        </w:rPr>
      </w:pPr>
    </w:p>
    <w:p w14:paraId="25790CE5">
      <w:pPr>
        <w:rPr>
          <w:rFonts w:hint="eastAsia" w:ascii="宋体" w:hAnsi="宋体" w:eastAsia="宋体" w:cs="宋体"/>
          <w:spacing w:val="6"/>
          <w:sz w:val="21"/>
          <w:szCs w:val="21"/>
        </w:rPr>
      </w:pPr>
      <w:r>
        <w:rPr>
          <w:rFonts w:hint="eastAsia" w:ascii="宋体" w:hAnsi="宋体" w:eastAsia="宋体" w:cs="宋体"/>
          <w:spacing w:val="6"/>
          <w:sz w:val="21"/>
          <w:szCs w:val="21"/>
        </w:rPr>
        <w:br w:type="page"/>
      </w:r>
    </w:p>
    <w:p w14:paraId="37F5F0A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国际储备政策</w:t>
      </w:r>
    </w:p>
    <w:p w14:paraId="3CB95895">
      <w:pPr>
        <w:rPr>
          <w:rFonts w:hint="eastAsia" w:ascii="宋体" w:hAnsi="宋体" w:eastAsia="宋体" w:cs="宋体"/>
          <w:spacing w:val="10"/>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1.我国成立了具有主权财富基金性质的中国投资公司，这是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的举措。</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A.为我国民营企业“走出去”铺路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B.构建积极的外汇储备管理模式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C.实施“藏汇于民”政策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D.遏制黄金储备过快增长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在外汇储备管理模式和机制上，我国引进和构建了积极的外汇储备管理模式和机制，先后成立了中央汇金公司和具有主权财富基金性质的中国投资公司。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2.在科学确定国际储备总量时，国际储备量要与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A.经济规模成反比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B.外债规模成正比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C.短期国际融资能力成正比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D.对外开放度成反比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A错误：经济规模与国际储备需求量成正比。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B正确：外债规模与国际储备需求量成正比。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C错误：在国际上获得短缺融资的能力强，则可以不动用或少动用国际储备，从而对国际储备的需求就少，所以两者成反比。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D错误：对外开放程度与国际储备需求量成正比。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3.在国际储备结构管理中，力求降低软币的比重，提高硬币的比重，是着眼于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A.国际储备总量的适度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B.国际储备资产结构的优化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C.外汇储备资产结构的优化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D.外汇储备货币结构的优化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外汇储备货币结构的优化：为了追求安全性，需要将外汇储备的货币结构与未来外汇支出的货币结构相匹配，从而在未来的外汇支出中，将不同储备货币之间的兑换降低到最低限度；为了追求盈利性，需要尽量提高储备货币中硬币的比重，降低储备货币中软币的比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4.如果我国成为储备货币发行国，我国的国际储备就可以</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A.增加外汇储备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B.保有较少总量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C.投资更多股权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D.增加资源储备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储备货币发行国对国际储备的需求少。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5.在实践中，测度国际储备总量是否适度的经验指标之一是：国际储备额与进口额之比，如果以月来计量，国际储备额应能满足</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个月的进口需求。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B.3</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D.12</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在实践中，测度国际储备总量是否适度的经验指标是：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(1)国际储备额与国民生产总值之比一般为10％。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(2)国际储备额与外债总额之比一般在30％～50％。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(3)国际储备额与进口额之比一般为25％；如果以月来计量，国际储备额应能满足3个月的进口需求。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6.我国外汇储备管理围绕维护国际收支平衡和汇率稳定的核心职能，不断优化币种结构和资产结构，实现投资的多元化和分散化，同时，创新外汇管理机制，先后成立了中央汇金投资有限责任公司和具有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性质的中国投资有限责任公司。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A.国资委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B.开放式基金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C.主权财富基金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D.封闭式基金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当前，我国外汇储备管理围绕维护国际收支平衡和汇率稳定的核心职能，不断优化币种结构和资产结构，实现投资的多元化和分散化，同时，创新外汇管理机制，先后成立中央汇金投资有限公司和具有主权财富基金性质的中国投资有限责任公司，提升外汇储备经营管理的规范化与专业化水平，保障外汇储备的安全、流动和保值增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7.下列选项属于国际储备的主要功能的是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A.提高国际收支顺差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B.促使本币汇率升值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C.维持国际资信和投资环境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D.促进国际资源流入国内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本题考查国际储备的功能。国际储备的主要功能包括：(1)弥补国际收支逆差；(2)稳定本币汇率；(3)维持国际资信和投资环境。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8.在国际储备结构管理中，力求降低软币的比重，提高硬币的比重，是着眼于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A.国际储备总量的适度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B.国际储备资产结构的优化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C.外汇储备资产结构的优化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D.外汇储备货币结构的优化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为了追求安全性，需要将外汇储备的货币结构与未来外汇支出的货币结构相匹配，从而在未来的外汇支出中，将不同储备货币之间的兑换降到最低限度；为了追求盈利性，需要尽量提高储备货币中硬币(币值稳定的货币)的比重，降低储备货币中软币(币值不稳定的货币)的比重。这是外汇储备货币结构的优化的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9.外汇储备一般分为三级，下列属于三级储备的是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A.商业票据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B.短期债券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C.中期国债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D.长期国债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外汇储备一般可分为三级，其中，三级储备主要是用于长期投资的国际储备，包括各种形式的具有高收益的外国长期有价证券。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三级储备流动性差，但收益高，可以弥补一级储备的不足。在实务中，需要根据先满足即时支付需要，再实现保值增值需要的优先顺序，对三种储备资产结构做出统筹安排。</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.不能作为国际储备资产的有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A.非货币性黄金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C.IMF的储备头寸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D.特别提款权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E.跨国企业持有的外汇资产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国际储备的范围包括：黄金储备、外汇储备、在国际货币基金组织的储备头寸和特别提款权。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.作为国际货币基金组织的成员，我国国际储备金由</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构成。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A.黄金储备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C.外债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D.在国际货币基金组织的储备头寸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E.特别提款权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作为国际货币基金组织的成员，我国国际储备由黄金储备、外汇储备、在国际货币基金组织的储备头寸和特别提款权等构成。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.国际储备包括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B.黄金储备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C.外债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D.特别提款权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E.在基金组织的储备头寸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国际储备包括黄金储备、外汇储备、在国际货币基金组织的储备头寸和特别提款权。后两项国际储备，只有国际货币基金组织的成员方才拥有。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.国际储备的功能包括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A.弥补国际收支逆差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B.调节永久性的国际收支不平衡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C.稳定本国货币汇率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D.维持国际资信和投资环境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E.促进金融稳定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国际储备的功能包括：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①弥补国际收支逆差；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②稳定本币汇率；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③维持国际资信和投资环境。</w:t>
      </w:r>
      <w:r>
        <w:rPr>
          <w:rFonts w:hint="eastAsia" w:ascii="宋体" w:hAnsi="宋体" w:eastAsia="宋体" w:cs="宋体"/>
          <w:spacing w:val="10"/>
          <w:sz w:val="21"/>
          <w:szCs w:val="21"/>
        </w:rPr>
        <w:br w:type="page"/>
      </w:r>
    </w:p>
    <w:p w14:paraId="588C5A8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国际资本流动</w:t>
      </w:r>
    </w:p>
    <w:p w14:paraId="57139BFA">
      <w:pPr>
        <w:keepNext w:val="0"/>
        <w:keepLines w:val="0"/>
        <w:widowControl/>
        <w:suppressLineNumbers w:val="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1.在我国，负责1年期以上的中长期外债管理的是（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A.商务部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B.全国人大常委会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C.国家发改委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D.国家外汇管理局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财政部是政府外债的统一管理部门，国家发改委负责1年期以上的中长期外债的管理，国家外汇管理局负责1年期以内(含1年)的短期外债管理。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2.引发国际资本流动的根本原因是（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A.过剩资本的存在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B.跨国公司发展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C.财政赤字</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D.政治风险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引发国际资本流动的原因很复杂，概括起来主要有以下几个方面：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（1）过剩资本的存在，过剩资本的存在是国际资本流动的根本原因。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（2）利率、汇率两大经济杠杆的影响。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（3）财政赤字与通货膨胀。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（4）政治、经济风险。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（5）发展中国家利用外资战略。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（6）跨国公司发展。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（7）其他（资本预期收益、外汇管制、国际金融市场状况）。</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3.假定我国某年外债还本付息额为5 091亿元人民币，货物服务出口总额为25 451亿元人民币，两者之比为20％。这一比率是我国该年的（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A.短期债务率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B.偿债率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C.债务率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D.负债率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A错误：短期债务率，即当年外债余额中，一年和一年以下期限的短期债务所占的比重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B正确：偿债率，即当年外债还本付息总额与当年货物服务出口总额的比率。其公式为：偿债率=当年外债还本付息总额÷当年货物服务出口总额×100％。</w:t>
      </w:r>
    </w:p>
    <w:p w14:paraId="2B4A7AC2">
      <w:pPr>
        <w:keepNext w:val="0"/>
        <w:keepLines w:val="0"/>
        <w:widowControl/>
        <w:suppressLineNumbers w:val="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C错误：债务率，即当年未清偿外债余额与当年货物和服务出口总额的比率。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D错误：负债率，即当年未清偿外债余额与当年国内生产总值的比率。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w:t>
      </w:r>
    </w:p>
    <w:p w14:paraId="24EE44C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4.在下列选项中，负债率是（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A.当年未清偿外债余额与当年国民生产总值之比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B.当年未清偿外债余额与当年国内生产总值之比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C.当年未清偿外债余额与当年货物服务出口总额之比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D.当年外债还本付息总额与当年货物服务出口总额之比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B正确：负债率，即当年未清偿外债余额/当年国内生产总值。</w:t>
      </w:r>
    </w:p>
    <w:p w14:paraId="7D77850A">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C错误：债务率，即当年未清偿外债余额与当年货物和服务出口总额的比率。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D错误：偿债率，即当年外债还本付息总额与当年货物和服务出口总额的比率。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w:t>
      </w:r>
    </w:p>
    <w:p w14:paraId="32E5889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5.在国际资本流动的类型中，投资者在国际证券市场上以购买外国政府或企业发行的中长期债券或公司股票的方式进行的投资，称为（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A.直接投资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B.证券投资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C.股权投资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D.国际信贷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证券投资是指投资者在国际证券市场上以购买外国政府或企业发行的中长期债券或公司股票的方式进行的投资。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6.中长期信贷的主要形式是（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A.国际金融机构贷款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B.政府贷款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C.银团贷款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D.保值性资本流动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国际信贷可以根据资本流动的时间不同，分为短期信贷和中长期信贷。短期信贷包括贸易性资本流动、银行短期资本流动、保值性资本流动、投机性资本流动等。中长期信贷的主要形式是银团贷款。</w:t>
      </w:r>
    </w:p>
    <w:p w14:paraId="0B8E090A">
      <w:pPr>
        <w:rPr>
          <w:rFonts w:hint="eastAsia" w:ascii="宋体" w:hAnsi="宋体" w:eastAsia="宋体" w:cs="宋体"/>
          <w:spacing w:val="12"/>
          <w:sz w:val="21"/>
          <w:szCs w:val="21"/>
        </w:rPr>
      </w:pPr>
      <w:r>
        <w:rPr>
          <w:rFonts w:hint="eastAsia" w:ascii="宋体" w:hAnsi="宋体" w:eastAsia="宋体" w:cs="宋体"/>
          <w:spacing w:val="12"/>
          <w:sz w:val="21"/>
          <w:szCs w:val="21"/>
        </w:rPr>
        <w:br w:type="page"/>
      </w:r>
    </w:p>
    <w:p w14:paraId="0D40B96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开放经济条件下的内外均衡</w:t>
      </w:r>
    </w:p>
    <w:p w14:paraId="75F13EB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  ）指国际收支平衡时利率和产出（收入）组合的轨迹。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A.IS曲线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B.LM曲线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C.BP曲线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D.KP曲线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5F9974EF">
      <w:pPr>
        <w:keepNext w:val="0"/>
        <w:keepLines w:val="0"/>
        <w:widowControl/>
        <w:suppressLineNumbers w:val="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A错误：IS曲线表示产品市场均衡。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B错误：LM曲线表示货币市场均衡。</w:t>
      </w:r>
    </w:p>
    <w:p w14:paraId="2F9D68C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C正确：</w:t>
      </w:r>
      <w:r>
        <w:rPr>
          <w:rFonts w:hint="eastAsia" w:ascii="宋体" w:hAnsi="宋体" w:eastAsia="宋体" w:cs="宋体"/>
          <w:i w:val="0"/>
          <w:iCs w:val="0"/>
          <w:caps w:val="0"/>
          <w:color w:val="000000"/>
          <w:spacing w:val="0"/>
          <w:kern w:val="0"/>
          <w:sz w:val="21"/>
          <w:szCs w:val="21"/>
          <w:lang w:val="en-US" w:eastAsia="zh-CN" w:bidi="ar"/>
        </w:rPr>
        <w:t>BP曲线指国际收支平衡时利率和产出（收入）组合的轨迹，即BP曲线上的任意一点所代表的利率和产出（收入）的组合都可以使当期国际收支均衡，这里的BP指国际收支差额，即净出口与资本净流出的差额。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2.国际收支保持均衡时，收入和利率组合的轨迹是（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A.IS曲线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B.LM曲线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C.BP曲线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D.KP曲线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2C7E85E9">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A错误：IS曲线表示产品市场均衡。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B错误：LM曲线表示货币市场均衡。</w:t>
      </w:r>
    </w:p>
    <w:p w14:paraId="03328D3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C正确：BP曲线是指国际收支均衡时利率和收入组合的轨迹。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3.BP曲线上的点代表（  ）供求均衡。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A.产品市场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B.货币市场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C.外汇市场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D.利率市场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BP曲线向右上方倾斜，线上任何一点代表外汇市场供求均衡。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4.BP曲线左上方的点代表（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A.国际收支平衡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B.外汇市场均衡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C.国际收支顺差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D.国际收支逆差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BP曲线左上方任何一点都代表贸易盈余大于资本流出净额，外汇市场供大于求，国际收支顺差；BP曲线右下方任何一点都代表贸易盈余小于资本流出净额，外汇市场供小于求，国际收支逆差。</w:t>
      </w:r>
    </w:p>
    <w:p w14:paraId="57D4CA8B">
      <w:pPr>
        <w:widowControl w:val="0"/>
        <w:numPr>
          <w:ilvl w:val="0"/>
          <w:numId w:val="0"/>
        </w:numPr>
        <w:jc w:val="both"/>
        <w:rPr>
          <w:rFonts w:hint="eastAsia" w:ascii="宋体" w:hAnsi="宋体" w:eastAsia="宋体" w:cs="宋体"/>
          <w:spacing w:val="-73"/>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8367EB"/>
    <w:rsid w:val="43771034"/>
    <w:rsid w:val="54A82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5386</Words>
  <Characters>5695</Characters>
  <Lines>0</Lines>
  <Paragraphs>0</Paragraphs>
  <TotalTime>1</TotalTime>
  <ScaleCrop>false</ScaleCrop>
  <LinksUpToDate>false</LinksUpToDate>
  <CharactersWithSpaces>5748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2025-08-13T11:00:00Z</dcterms:created>
  <dc:creator>go41</dc:creator>
  <cp:lastModifiedBy>玉生烟罗</cp:lastModifiedBy>
  <dcterms:modified xsi:type="dcterms:W3CDTF">2025-08-13T12:38:43Z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51613BBEED54459EB4A5D36BA98791C0_12</vt:lpwstr>
  </property>
</Properties>
</file>