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A3AE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w:t>
      </w:r>
      <w:r>
        <w:rPr>
          <w:rFonts w:hint="eastAsia" w:ascii="宋体" w:hAnsi="宋体" w:eastAsia="宋体" w:cs="宋体"/>
          <w:b/>
          <w:bCs/>
          <w:color w:val="0000FF"/>
          <w:spacing w:val="-6"/>
          <w:sz w:val="28"/>
          <w:szCs w:val="28"/>
          <w:lang w:val="en-US" w:eastAsia="zh-CN"/>
          <w14:ligatures w14:val="none"/>
        </w:rPr>
        <w:t xml:space="preserve"> 收益与风险</w:t>
      </w:r>
    </w:p>
    <w:p w14:paraId="162F08B6">
      <w:pPr>
        <w:rPr>
          <w:rFonts w:hint="eastAsia" w:ascii="宋体" w:hAnsi="宋体" w:eastAsia="宋体" w:cs="宋体"/>
          <w:spacing w:val="13"/>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1.某公司拟进行股票投资,计划购买甲、乙、丙三种股票组成投资组合,已知三种股票的β系数分别为1.5、1.0和0.5,该投资组合甲、乙、丙三种股票的投资比重分别为50%、20%和30%,该投资组合的β系数为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A.0.15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B.0.8</w:t>
      </w:r>
      <w:bookmarkStart w:id="0" w:name="_GoBack"/>
      <w:bookmarkEnd w:id="0"/>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C.1.0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D.1.1</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投资组合的市场风险，即投资组合的β系数是个别股票的β系数的加权平均数，其权数都等于各种证券在投资组合中的比例。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即:1.5×50%+1.0×20%+0.5×30%=1.1。</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2.如果某证券的β值为1．5，若市场投资组合的风险溢价水平为10％，则该证券的风险溢价水平为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B.15％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C.50％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D.85％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本题考查资产风险。通常用于衡量单个证券风险的是它的β值，证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drawing>
          <wp:inline distT="0" distB="0" distL="114300" distR="114300">
            <wp:extent cx="3352800" cy="7524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352800" cy="752475"/>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3.如果某公司的股票β系数为1．4，市场组合的收益率为6％，无风险收益率为2％，则该公司股票的预期收益率是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A.2．8％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B.5．6％</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C.7．6％</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D.8．4％</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预期收益率E（r</w:t>
      </w:r>
      <w:r>
        <w:rPr>
          <w:rFonts w:hint="eastAsia" w:ascii="宋体" w:hAnsi="宋体" w:eastAsia="宋体" w:cs="宋体"/>
          <w:i w:val="0"/>
          <w:iCs w:val="0"/>
          <w:caps w:val="0"/>
          <w:color w:val="000000"/>
          <w:spacing w:val="0"/>
          <w:sz w:val="21"/>
          <w:szCs w:val="21"/>
          <w:vertAlign w:val="subscript"/>
        </w:rPr>
        <w:t>i</w:t>
      </w:r>
      <w:r>
        <w:rPr>
          <w:rFonts w:hint="eastAsia" w:ascii="宋体" w:hAnsi="宋体" w:eastAsia="宋体" w:cs="宋体"/>
          <w:i w:val="0"/>
          <w:iCs w:val="0"/>
          <w:caps w:val="0"/>
          <w:color w:val="000000"/>
          <w:spacing w:val="0"/>
          <w:sz w:val="21"/>
          <w:szCs w:val="21"/>
        </w:rPr>
        <w:t>）=r</w:t>
      </w:r>
      <w:r>
        <w:rPr>
          <w:rFonts w:hint="eastAsia" w:ascii="宋体" w:hAnsi="宋体" w:eastAsia="宋体" w:cs="宋体"/>
          <w:i w:val="0"/>
          <w:iCs w:val="0"/>
          <w:caps w:val="0"/>
          <w:color w:val="000000"/>
          <w:spacing w:val="0"/>
          <w:sz w:val="21"/>
          <w:szCs w:val="21"/>
          <w:vertAlign w:val="subscript"/>
        </w:rPr>
        <w:t>f</w:t>
      </w:r>
      <w:r>
        <w:rPr>
          <w:rFonts w:hint="eastAsia" w:ascii="宋体" w:hAnsi="宋体" w:eastAsia="宋体" w:cs="宋体"/>
          <w:i w:val="0"/>
          <w:iCs w:val="0"/>
          <w:caps w:val="0"/>
          <w:color w:val="000000"/>
          <w:spacing w:val="0"/>
          <w:sz w:val="21"/>
          <w:szCs w:val="21"/>
        </w:rPr>
        <w:t>+[E（r</w:t>
      </w:r>
      <w:r>
        <w:rPr>
          <w:rFonts w:hint="eastAsia" w:ascii="宋体" w:hAnsi="宋体" w:eastAsia="宋体" w:cs="宋体"/>
          <w:i w:val="0"/>
          <w:iCs w:val="0"/>
          <w:caps w:val="0"/>
          <w:color w:val="000000"/>
          <w:spacing w:val="0"/>
          <w:sz w:val="21"/>
          <w:szCs w:val="21"/>
          <w:vertAlign w:val="subscript"/>
        </w:rPr>
        <w:t>M</w:t>
      </w:r>
      <w:r>
        <w:rPr>
          <w:rFonts w:hint="eastAsia" w:ascii="宋体" w:hAnsi="宋体" w:eastAsia="宋体" w:cs="宋体"/>
          <w:i w:val="0"/>
          <w:iCs w:val="0"/>
          <w:caps w:val="0"/>
          <w:color w:val="000000"/>
          <w:spacing w:val="0"/>
          <w:sz w:val="21"/>
          <w:szCs w:val="21"/>
        </w:rPr>
        <w:t>）-r</w:t>
      </w:r>
      <w:r>
        <w:rPr>
          <w:rFonts w:hint="eastAsia" w:ascii="宋体" w:hAnsi="宋体" w:eastAsia="宋体" w:cs="宋体"/>
          <w:i w:val="0"/>
          <w:iCs w:val="0"/>
          <w:caps w:val="0"/>
          <w:color w:val="000000"/>
          <w:spacing w:val="0"/>
          <w:sz w:val="21"/>
          <w:szCs w:val="21"/>
          <w:vertAlign w:val="subscript"/>
        </w:rPr>
        <w:t>f</w:t>
      </w:r>
      <w:r>
        <w:rPr>
          <w:rFonts w:hint="eastAsia" w:ascii="宋体" w:hAnsi="宋体" w:eastAsia="宋体" w:cs="宋体"/>
          <w:i w:val="0"/>
          <w:iCs w:val="0"/>
          <w:caps w:val="0"/>
          <w:color w:val="000000"/>
          <w:spacing w:val="0"/>
          <w:sz w:val="21"/>
          <w:szCs w:val="21"/>
        </w:rPr>
        <w:t>]β</w:t>
      </w:r>
      <w:r>
        <w:rPr>
          <w:rFonts w:hint="eastAsia" w:ascii="宋体" w:hAnsi="宋体" w:eastAsia="宋体" w:cs="宋体"/>
          <w:i w:val="0"/>
          <w:iCs w:val="0"/>
          <w:caps w:val="0"/>
          <w:color w:val="000000"/>
          <w:spacing w:val="0"/>
          <w:sz w:val="21"/>
          <w:szCs w:val="21"/>
          <w:vertAlign w:val="subscript"/>
        </w:rPr>
        <w:t>i</w:t>
      </w:r>
      <w:r>
        <w:rPr>
          <w:rFonts w:hint="eastAsia" w:ascii="宋体" w:hAnsi="宋体" w:eastAsia="宋体" w:cs="宋体"/>
          <w:i w:val="0"/>
          <w:iCs w:val="0"/>
          <w:caps w:val="0"/>
          <w:color w:val="000000"/>
          <w:spacing w:val="0"/>
          <w:sz w:val="21"/>
          <w:szCs w:val="21"/>
          <w:vertAlign w:val="subscript"/>
        </w:rPr>
        <w:br w:type="textWrapping"/>
      </w:r>
      <w:r>
        <w:rPr>
          <w:rFonts w:hint="eastAsia" w:ascii="宋体" w:hAnsi="宋体" w:eastAsia="宋体" w:cs="宋体"/>
          <w:i w:val="0"/>
          <w:iCs w:val="0"/>
          <w:caps w:val="0"/>
          <w:color w:val="000000"/>
          <w:spacing w:val="0"/>
          <w:sz w:val="21"/>
          <w:szCs w:val="21"/>
        </w:rPr>
        <w:t>其中，E（r</w:t>
      </w:r>
      <w:r>
        <w:rPr>
          <w:rFonts w:hint="eastAsia" w:ascii="宋体" w:hAnsi="宋体" w:eastAsia="宋体" w:cs="宋体"/>
          <w:i w:val="0"/>
          <w:iCs w:val="0"/>
          <w:caps w:val="0"/>
          <w:color w:val="000000"/>
          <w:spacing w:val="0"/>
          <w:sz w:val="21"/>
          <w:szCs w:val="21"/>
          <w:vertAlign w:val="subscript"/>
        </w:rPr>
        <w:t>M</w:t>
      </w:r>
      <w:r>
        <w:rPr>
          <w:rFonts w:hint="eastAsia" w:ascii="宋体" w:hAnsi="宋体" w:eastAsia="宋体" w:cs="宋体"/>
          <w:i w:val="0"/>
          <w:iCs w:val="0"/>
          <w:caps w:val="0"/>
          <w:color w:val="000000"/>
          <w:spacing w:val="0"/>
          <w:sz w:val="21"/>
          <w:szCs w:val="21"/>
        </w:rPr>
        <w:t>）-r</w:t>
      </w:r>
      <w:r>
        <w:rPr>
          <w:rFonts w:hint="eastAsia" w:ascii="宋体" w:hAnsi="宋体" w:eastAsia="宋体" w:cs="宋体"/>
          <w:i w:val="0"/>
          <w:iCs w:val="0"/>
          <w:caps w:val="0"/>
          <w:color w:val="000000"/>
          <w:spacing w:val="0"/>
          <w:sz w:val="21"/>
          <w:szCs w:val="21"/>
          <w:vertAlign w:val="subscript"/>
        </w:rPr>
        <w:t>f</w:t>
      </w:r>
      <w:r>
        <w:rPr>
          <w:rFonts w:hint="eastAsia" w:ascii="宋体" w:hAnsi="宋体" w:eastAsia="宋体" w:cs="宋体"/>
          <w:i w:val="0"/>
          <w:iCs w:val="0"/>
          <w:caps w:val="0"/>
          <w:color w:val="000000"/>
          <w:spacing w:val="0"/>
          <w:sz w:val="21"/>
          <w:szCs w:val="21"/>
        </w:rPr>
        <w:t>是市场组合的风险报酬</w:t>
      </w:r>
      <w:r>
        <w:rPr>
          <w:rFonts w:hint="eastAsia" w:ascii="宋体" w:hAnsi="宋体" w:eastAsia="宋体" w:cs="宋体"/>
          <w:i w:val="0"/>
          <w:iCs w:val="0"/>
          <w:caps w:val="0"/>
          <w:color w:val="000000"/>
          <w:spacing w:val="0"/>
          <w:sz w:val="21"/>
          <w:szCs w:val="21"/>
          <w:vertAlign w:val="subscript"/>
        </w:rPr>
        <w:t>，</w:t>
      </w:r>
      <w:r>
        <w:rPr>
          <w:rFonts w:hint="eastAsia" w:ascii="宋体" w:hAnsi="宋体" w:eastAsia="宋体" w:cs="宋体"/>
          <w:i w:val="0"/>
          <w:iCs w:val="0"/>
          <w:caps w:val="0"/>
          <w:color w:val="000000"/>
          <w:spacing w:val="0"/>
          <w:sz w:val="21"/>
          <w:szCs w:val="21"/>
        </w:rPr>
        <w:t>β</w:t>
      </w:r>
      <w:r>
        <w:rPr>
          <w:rFonts w:hint="eastAsia" w:ascii="宋体" w:hAnsi="宋体" w:eastAsia="宋体" w:cs="宋体"/>
          <w:i w:val="0"/>
          <w:iCs w:val="0"/>
          <w:caps w:val="0"/>
          <w:color w:val="000000"/>
          <w:spacing w:val="0"/>
          <w:sz w:val="21"/>
          <w:szCs w:val="21"/>
          <w:vertAlign w:val="subscript"/>
        </w:rPr>
        <w:t>i</w:t>
      </w:r>
      <w:r>
        <w:rPr>
          <w:rFonts w:hint="eastAsia" w:ascii="宋体" w:hAnsi="宋体" w:eastAsia="宋体" w:cs="宋体"/>
          <w:i w:val="0"/>
          <w:iCs w:val="0"/>
          <w:caps w:val="0"/>
          <w:color w:val="000000"/>
          <w:spacing w:val="0"/>
          <w:sz w:val="21"/>
          <w:szCs w:val="21"/>
        </w:rPr>
        <w:t>则衡量了证券i相对于市场组合的绝对风险大小。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故E（r</w:t>
      </w:r>
      <w:r>
        <w:rPr>
          <w:rFonts w:hint="eastAsia" w:ascii="宋体" w:hAnsi="宋体" w:eastAsia="宋体" w:cs="宋体"/>
          <w:i w:val="0"/>
          <w:iCs w:val="0"/>
          <w:caps w:val="0"/>
          <w:color w:val="000000"/>
          <w:spacing w:val="0"/>
          <w:sz w:val="21"/>
          <w:szCs w:val="21"/>
          <w:vertAlign w:val="subscript"/>
        </w:rPr>
        <w:t>i</w:t>
      </w:r>
      <w:r>
        <w:rPr>
          <w:rFonts w:hint="eastAsia" w:ascii="宋体" w:hAnsi="宋体" w:eastAsia="宋体" w:cs="宋体"/>
          <w:i w:val="0"/>
          <w:iCs w:val="0"/>
          <w:caps w:val="0"/>
          <w:color w:val="000000"/>
          <w:spacing w:val="0"/>
          <w:sz w:val="21"/>
          <w:szCs w:val="21"/>
        </w:rPr>
        <w:t>）=r</w:t>
      </w:r>
      <w:r>
        <w:rPr>
          <w:rFonts w:hint="eastAsia" w:ascii="宋体" w:hAnsi="宋体" w:eastAsia="宋体" w:cs="宋体"/>
          <w:i w:val="0"/>
          <w:iCs w:val="0"/>
          <w:caps w:val="0"/>
          <w:color w:val="000000"/>
          <w:spacing w:val="0"/>
          <w:sz w:val="21"/>
          <w:szCs w:val="21"/>
          <w:vertAlign w:val="subscript"/>
        </w:rPr>
        <w:t>f</w:t>
      </w:r>
      <w:r>
        <w:rPr>
          <w:rFonts w:hint="eastAsia" w:ascii="宋体" w:hAnsi="宋体" w:eastAsia="宋体" w:cs="宋体"/>
          <w:i w:val="0"/>
          <w:iCs w:val="0"/>
          <w:caps w:val="0"/>
          <w:color w:val="000000"/>
          <w:spacing w:val="0"/>
          <w:sz w:val="21"/>
          <w:szCs w:val="21"/>
        </w:rPr>
        <w:t>+[E（r</w:t>
      </w:r>
      <w:r>
        <w:rPr>
          <w:rFonts w:hint="eastAsia" w:ascii="宋体" w:hAnsi="宋体" w:eastAsia="宋体" w:cs="宋体"/>
          <w:i w:val="0"/>
          <w:iCs w:val="0"/>
          <w:caps w:val="0"/>
          <w:color w:val="000000"/>
          <w:spacing w:val="0"/>
          <w:sz w:val="21"/>
          <w:szCs w:val="21"/>
          <w:vertAlign w:val="subscript"/>
        </w:rPr>
        <w:t>M</w:t>
      </w:r>
      <w:r>
        <w:rPr>
          <w:rFonts w:hint="eastAsia" w:ascii="宋体" w:hAnsi="宋体" w:eastAsia="宋体" w:cs="宋体"/>
          <w:i w:val="0"/>
          <w:iCs w:val="0"/>
          <w:caps w:val="0"/>
          <w:color w:val="000000"/>
          <w:spacing w:val="0"/>
          <w:sz w:val="21"/>
          <w:szCs w:val="21"/>
        </w:rPr>
        <w:t>）-r</w:t>
      </w:r>
      <w:r>
        <w:rPr>
          <w:rFonts w:hint="eastAsia" w:ascii="宋体" w:hAnsi="宋体" w:eastAsia="宋体" w:cs="宋体"/>
          <w:i w:val="0"/>
          <w:iCs w:val="0"/>
          <w:caps w:val="0"/>
          <w:color w:val="000000"/>
          <w:spacing w:val="0"/>
          <w:sz w:val="21"/>
          <w:szCs w:val="21"/>
          <w:vertAlign w:val="subscript"/>
        </w:rPr>
        <w:t>f</w:t>
      </w:r>
      <w:r>
        <w:rPr>
          <w:rFonts w:hint="eastAsia" w:ascii="宋体" w:hAnsi="宋体" w:eastAsia="宋体" w:cs="宋体"/>
          <w:i w:val="0"/>
          <w:iCs w:val="0"/>
          <w:caps w:val="0"/>
          <w:color w:val="000000"/>
          <w:spacing w:val="0"/>
          <w:sz w:val="21"/>
          <w:szCs w:val="21"/>
        </w:rPr>
        <w:t>]β</w:t>
      </w:r>
      <w:r>
        <w:rPr>
          <w:rFonts w:hint="eastAsia" w:ascii="宋体" w:hAnsi="宋体" w:eastAsia="宋体" w:cs="宋体"/>
          <w:i w:val="0"/>
          <w:iCs w:val="0"/>
          <w:caps w:val="0"/>
          <w:color w:val="000000"/>
          <w:spacing w:val="0"/>
          <w:sz w:val="21"/>
          <w:szCs w:val="21"/>
          <w:vertAlign w:val="subscript"/>
        </w:rPr>
        <w:t>i</w:t>
      </w:r>
      <w:r>
        <w:rPr>
          <w:rFonts w:hint="eastAsia" w:ascii="宋体" w:hAnsi="宋体" w:eastAsia="宋体" w:cs="宋体"/>
          <w:i w:val="0"/>
          <w:iCs w:val="0"/>
          <w:caps w:val="0"/>
          <w:color w:val="000000"/>
          <w:spacing w:val="0"/>
          <w:sz w:val="21"/>
          <w:szCs w:val="21"/>
        </w:rPr>
        <w:t>=1.4×（6%-2%）+2%=7.6%。</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4.买卖价差收益，也称为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A.股息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B.资本利得</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C.红利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D.流动收益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买卖价差收益也称为资本利得。</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是剔除通货膨胀或通货紧缩因素的利率。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A.名义收益率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B.到期收益率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C.实际收益率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D.本期收益率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实际收益率是指剔除通货膨胀或通货紧缩因素的利率。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6.任何资产风险溢价的估计值都是其历史超额收益率的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A.最小值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B.最大值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C.平均值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D.中值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任何资产风险溢价的估计值都是其历史超额收益率的平均值。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7.为了使不同金融资产的收益情况具有可比性，最常见的衡量指标是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A.成本率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B.综合成本率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金融资产收益的不同也直接决定了金融资产价格的差异，为使不同金融资产的收益情况具有可比性，收益率成为最常见的衡量指标，该指标是金融资产收益与购买金融资产现值之比。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8.投资者张某在投资之初的无风险利率为4%，风险资产在期末的收益率为9%，那么，该风险资产的超额收益率是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A.4%</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C.9%</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D.13%</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超额收益率是指风险资产每一期超过无风险利率的收益率。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超额收益率=9%-4%=5%。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9.对于长期持有金融资产计算收益率，基于几何平均法计算的收益率又称为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A.算术平均收益率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B.时间加权平均收益率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C.资金加权平均收益率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D.内部收益率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A选项错误：算术平均收益率是直接将各期收益率进行简单算术平均计算得出，不考虑复利效应，与几何平均法无关。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B选项正确：时间加权平均收益率以时间为权重，通过几何平均法计算各区间收益率的复合收益，能更准确反映长期投资的实际收益情况，是基于几何平均法的收益率。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C选项错误：资金加权平均收益率（即内部收益率）考虑了资金投入和取出的时间及金额对整体收益的影响，基于现金流折现原理，并非几何平均法。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D选项错误：内部收益率是使投资净现值为零的折现率，核心是匹配现金流与收益，与几何平均法的计算逻辑不同。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10.标准差越大，偏离期望收益率的幅度越大，表明对应金融资产的风险</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A.越小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B.越大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C.不受影响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D.同比例变化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方差和标准差衡量了收益率与期望收益率之间的偏离情况，当值越大时，偏离期望收益率的幅度越大，表明对应金融资产的风险越大。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11.在某一投资组合的特定时间段内，从高点到低点的最大跌幅，称为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A.大幅回撤</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B.最高回撤</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C.最大回撤</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D.最强回撤</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最大回撤是另一个常见的刻画下行风险的指标，是指在某一投资组合的特定时间段内，从高点到低点的最大跌幅。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12.将资金投资于没有任何风险的投资对象而能获得的利息率是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A.无溢价收益率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B.无风险利率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C.预期收益率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D.超额收益率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无风险利率是指将资金投资于没有任何风险的投资对象而能获得的利息率，如国库券的收益率、上海银行间同业拆放利率等。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13.资本配置线的斜率是风险资产</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A.投资收益率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B.无风险收益率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C.夏普比率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D.预期收益率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资本配置线具有以下特征：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①该直线经过(0,r</w:t>
      </w:r>
      <w:r>
        <w:rPr>
          <w:rFonts w:hint="eastAsia" w:ascii="宋体" w:hAnsi="宋体" w:eastAsia="宋体" w:cs="宋体"/>
          <w:i w:val="0"/>
          <w:iCs w:val="0"/>
          <w:caps w:val="0"/>
          <w:color w:val="000000"/>
          <w:spacing w:val="0"/>
          <w:sz w:val="21"/>
          <w:szCs w:val="21"/>
          <w:vertAlign w:val="subscript"/>
        </w:rPr>
        <w:t>f</w:t>
      </w:r>
      <w:r>
        <w:rPr>
          <w:rFonts w:hint="eastAsia" w:ascii="宋体" w:hAnsi="宋体" w:eastAsia="宋体" w:cs="宋体"/>
          <w:i w:val="0"/>
          <w:iCs w:val="0"/>
          <w:caps w:val="0"/>
          <w:color w:val="000000"/>
          <w:spacing w:val="0"/>
          <w:sz w:val="21"/>
          <w:szCs w:val="21"/>
        </w:rPr>
        <w:t>)这一点；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②该直线的斜率为风险资产的夏普比率。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14.根据资本资产定价模型，假设某公司股票的β系数为1．15,市场投资组合的预期收益率为8%,当前国债的利率(无风险利率)为3%,则该公司股票的预期收益率为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A.8．25%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B.8．50%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C.8．75%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D.9．00%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E（r</w:t>
      </w:r>
      <w:r>
        <w:rPr>
          <w:rFonts w:hint="eastAsia" w:ascii="宋体" w:hAnsi="宋体" w:eastAsia="宋体" w:cs="宋体"/>
          <w:i w:val="0"/>
          <w:iCs w:val="0"/>
          <w:caps w:val="0"/>
          <w:color w:val="000000"/>
          <w:spacing w:val="0"/>
          <w:sz w:val="21"/>
          <w:szCs w:val="21"/>
          <w:vertAlign w:val="subscript"/>
        </w:rPr>
        <w:t>p</w:t>
      </w:r>
      <w:r>
        <w:rPr>
          <w:rFonts w:hint="eastAsia" w:ascii="宋体" w:hAnsi="宋体" w:eastAsia="宋体" w:cs="宋体"/>
          <w:i w:val="0"/>
          <w:iCs w:val="0"/>
          <w:caps w:val="0"/>
          <w:color w:val="000000"/>
          <w:spacing w:val="0"/>
          <w:sz w:val="21"/>
          <w:szCs w:val="21"/>
        </w:rPr>
        <w:t>）=r</w:t>
      </w:r>
      <w:r>
        <w:rPr>
          <w:rFonts w:hint="eastAsia" w:ascii="宋体" w:hAnsi="宋体" w:eastAsia="宋体" w:cs="宋体"/>
          <w:i w:val="0"/>
          <w:iCs w:val="0"/>
          <w:caps w:val="0"/>
          <w:color w:val="000000"/>
          <w:spacing w:val="0"/>
          <w:sz w:val="21"/>
          <w:szCs w:val="21"/>
          <w:vertAlign w:val="subscript"/>
        </w:rPr>
        <w:t>f</w:t>
      </w:r>
      <w:r>
        <w:rPr>
          <w:rFonts w:hint="eastAsia" w:ascii="宋体" w:hAnsi="宋体" w:eastAsia="宋体" w:cs="宋体"/>
          <w:i w:val="0"/>
          <w:iCs w:val="0"/>
          <w:caps w:val="0"/>
          <w:color w:val="000000"/>
          <w:spacing w:val="0"/>
          <w:sz w:val="21"/>
          <w:szCs w:val="21"/>
        </w:rPr>
        <w:t>+β</w:t>
      </w:r>
      <w:r>
        <w:rPr>
          <w:rFonts w:hint="eastAsia" w:ascii="宋体" w:hAnsi="宋体" w:eastAsia="宋体" w:cs="宋体"/>
          <w:i w:val="0"/>
          <w:iCs w:val="0"/>
          <w:caps w:val="0"/>
          <w:color w:val="000000"/>
          <w:spacing w:val="0"/>
          <w:sz w:val="21"/>
          <w:szCs w:val="21"/>
          <w:vertAlign w:val="subscript"/>
        </w:rPr>
        <w:t>p</w:t>
      </w:r>
      <w:r>
        <w:rPr>
          <w:rFonts w:hint="eastAsia" w:ascii="宋体" w:hAnsi="宋体" w:eastAsia="宋体" w:cs="宋体"/>
          <w:i w:val="0"/>
          <w:iCs w:val="0"/>
          <w:caps w:val="0"/>
          <w:color w:val="000000"/>
          <w:spacing w:val="0"/>
          <w:sz w:val="21"/>
          <w:szCs w:val="21"/>
        </w:rPr>
        <w:t>×[E（r</w:t>
      </w:r>
      <w:r>
        <w:rPr>
          <w:rFonts w:hint="eastAsia" w:ascii="宋体" w:hAnsi="宋体" w:eastAsia="宋体" w:cs="宋体"/>
          <w:i w:val="0"/>
          <w:iCs w:val="0"/>
          <w:caps w:val="0"/>
          <w:color w:val="000000"/>
          <w:spacing w:val="0"/>
          <w:sz w:val="21"/>
          <w:szCs w:val="21"/>
          <w:vertAlign w:val="subscript"/>
        </w:rPr>
        <w:t>M</w:t>
      </w:r>
      <w:r>
        <w:rPr>
          <w:rFonts w:hint="eastAsia" w:ascii="宋体" w:hAnsi="宋体" w:eastAsia="宋体" w:cs="宋体"/>
          <w:i w:val="0"/>
          <w:iCs w:val="0"/>
          <w:caps w:val="0"/>
          <w:color w:val="000000"/>
          <w:spacing w:val="0"/>
          <w:sz w:val="21"/>
          <w:szCs w:val="21"/>
        </w:rPr>
        <w:t>）-r</w:t>
      </w:r>
      <w:r>
        <w:rPr>
          <w:rFonts w:hint="eastAsia" w:ascii="宋体" w:hAnsi="宋体" w:eastAsia="宋体" w:cs="宋体"/>
          <w:i w:val="0"/>
          <w:iCs w:val="0"/>
          <w:caps w:val="0"/>
          <w:color w:val="000000"/>
          <w:spacing w:val="0"/>
          <w:sz w:val="21"/>
          <w:szCs w:val="21"/>
          <w:vertAlign w:val="subscript"/>
        </w:rPr>
        <w:t>f</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预期收益率=3%+(8%-3%)×1．15=8．75%。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.资本资产定价模型基于两组假设，分别是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A.与利率相关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B.与投资者行为相关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C.与市场结构相关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D.与无风险利率相关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E.与风险相关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资本资产定价模型是在资本市场处于均衡状态下的价格决定模型。资本资产定价模型基于两组假设，分别与投资者行为和市场结构相关。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.有效边界的特点包括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A.有效边界是一条向右上方倾斜的曲线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B.有效边界是一条向左上方倾斜的曲线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C.有效边界是一条向上凸的曲线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D.有效边界是一条平行于横轴的直线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E.效边界曲线上不可能有凹陷的地方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有效边界具有如下特点：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①有效边界是一条向右上方倾斜的曲线，反映了“高风险、高收益”的原则；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②有效边界是一条向上凸的曲线；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③有效边界曲线上不可能有凹陷的地方。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.关于市场结构方面的假设，正确的有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A.所有资产均为责任有限的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B.市场是完备的，即不存在交易成本和税收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C.存在无风险资产，投资者可以以共同的无风险利率进行借贷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D.所有投资者均可免费地获得信息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E.市场不存在垄断和操纵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市场结构方面的假设包括：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A正确：①所有资产均为责任有限的，即对任何资产，其期末价值总是大于或等于零；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B正确：②市场是完备的，即不存在交易成本和税收，且所有资产均可以无限分割；</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C正确：③存在无风险资产，投资者可以以共同的无风险利率进行借贷，且不受数量限制；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④存在做空机制，投资者可以做空所有资产；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E正确：⑤市场处于完全竞争状态，即不存在垄断和操纵，资本市场有众多的投资者，每一个个体投资者的买入或卖出行为，都不会影响资产的价格。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综上，该题选ABCE。</w:t>
      </w:r>
      <w:r>
        <w:rPr>
          <w:rFonts w:hint="eastAsia" w:ascii="宋体" w:hAnsi="宋体" w:eastAsia="宋体" w:cs="宋体"/>
          <w:spacing w:val="13"/>
          <w:sz w:val="21"/>
          <w:szCs w:val="21"/>
        </w:rPr>
        <w:br w:type="page"/>
      </w:r>
    </w:p>
    <w:p w14:paraId="2791A038">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资产定价模型</w:t>
      </w:r>
    </w:p>
    <w:p w14:paraId="05ED7A5D">
      <w:pPr>
        <w:widowControl w:val="0"/>
        <w:numPr>
          <w:ilvl w:val="0"/>
          <w:numId w:val="0"/>
        </w:numPr>
        <w:jc w:val="both"/>
        <w:rPr>
          <w:rFonts w:hint="eastAsia" w:ascii="宋体" w:hAnsi="宋体" w:eastAsia="宋体" w:cs="宋体"/>
          <w:spacing w:val="-86"/>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1.通过分散化投资，投资者不可以分散掉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A.个体风险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B.非系统性风险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C.系统性风险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D.公司风险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通过分散化投资，投资者可以分散掉个体风险，但无法分散掉证券组合中的系统性风险。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2.在均衡状态下，证券的预期收益率与因素敏感度存在</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关系。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A.线性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B.曲线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C.螺旋递进</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D.反向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根据数学推导，可以得出在均衡状态下证券的预期收益率与因素敏感度存在线性关系。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3.旨在研究资产收益与市场指数和公司特定因素收益相关联的模型是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A.指数模型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B.单因素模型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C.套利定价模型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D.三因子模型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指数模型是旨在研究资产收益与市场指数和公司特定因素收益相关联的模型。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该模型有助于解释多样化投资的收益，也是检验资本资产定价模型最常用的统计模型。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4.在资本资产定价模型的假设下，阿尔法系数的值为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B.1</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D.0~1</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阿尔法系数在资本资产定价模型的假设下的值为0。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5.资本资产定价模型中，市场部分的风险又称为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A.系统风险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B.可分散风险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C.市场风险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D.信用风险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市场部分的风险又被称为系统风险，该风险是无法通过分散投资消除；公司特有风险又被称为个体风险，该风险可以通过分散投资消除。</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6.证券市场线在纵轴上的截距是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A.预期收益率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B.无风险利率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C.贝塔系数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D.风险溢价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证券市场线在纵轴上的截距为无风险利率，斜率为市场的风险溢价。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.证券市场线与资本市场线的差异有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A.证券市场线采用贝塔系数作为风险的代理，刻画了组合或证券的系统风险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B.证券市场线采用标准差作为风险的代理，刻画了组合的系统风险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C.证券市场线可以用于单个风险资产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D.证券市场线也可用于投资组合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E.证券市场线刻画有效投资组合的风险溢价与有效投资组合标准差之间的关系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资本市场线与证券市场线在以下几个方面存在差异：</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A正确、B错误：①风险的代理指标不一样，资本市场线采用标准差作为风险的代理，刻画了组合的整体风险，而证券市场线采用证券或投资组合的贝塔系数作为风险的代理，仅刻画了组合或证券的系统风险；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D正确，E错误：②资本市场线刻画的是有效投资组合的风险溢价与有效投资组合标准差之间的关系，其中有效投资组合是指由市场组合(或最优风险组合)和无风险资产所构成的整个投资组合，而证券市场线可以用于单个风险资产，也可用于投资组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综上，该题选ACD。</w:t>
      </w:r>
    </w:p>
    <w:p w14:paraId="0DF45226">
      <w:pPr>
        <w:rPr>
          <w:rFonts w:hint="eastAsia" w:ascii="宋体" w:hAnsi="宋体" w:eastAsia="宋体" w:cs="宋体"/>
          <w:spacing w:val="-86"/>
          <w:sz w:val="21"/>
          <w:szCs w:val="21"/>
        </w:rPr>
      </w:pPr>
      <w:r>
        <w:rPr>
          <w:rFonts w:hint="eastAsia" w:ascii="宋体" w:hAnsi="宋体" w:eastAsia="宋体" w:cs="宋体"/>
          <w:spacing w:val="-86"/>
          <w:sz w:val="21"/>
          <w:szCs w:val="21"/>
        </w:rPr>
        <w:br w:type="page"/>
      </w:r>
    </w:p>
    <w:p w14:paraId="22300603">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证券估值</w:t>
      </w:r>
    </w:p>
    <w:p w14:paraId="27CF2303">
      <w:pPr>
        <w:rPr>
          <w:rFonts w:hint="eastAsia" w:ascii="宋体" w:hAnsi="宋体" w:eastAsia="宋体" w:cs="宋体"/>
          <w:b/>
          <w:bCs/>
          <w:spacing w:val="11"/>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1.假若金额为100元的一张债券，不支付利息贴现出售，期限1年，收益率为3％，到期一次归还。则该张债券的交易价格为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A.97</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B.106</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C.103</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D.97.09</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到期一次还本付息的债券定价：P</w:t>
      </w:r>
      <w:r>
        <w:rPr>
          <w:rFonts w:hint="eastAsia" w:ascii="宋体" w:hAnsi="宋体" w:eastAsia="宋体" w:cs="宋体"/>
          <w:i w:val="0"/>
          <w:iCs w:val="0"/>
          <w:caps w:val="0"/>
          <w:color w:val="000000"/>
          <w:spacing w:val="0"/>
          <w:sz w:val="21"/>
          <w:szCs w:val="21"/>
          <w:vertAlign w:val="subscript"/>
        </w:rPr>
        <w:t>0</w:t>
      </w:r>
      <w:r>
        <w:rPr>
          <w:rFonts w:hint="eastAsia" w:ascii="宋体" w:hAnsi="宋体" w:eastAsia="宋体" w:cs="宋体"/>
          <w:i w:val="0"/>
          <w:iCs w:val="0"/>
          <w:caps w:val="0"/>
          <w:color w:val="000000"/>
          <w:spacing w:val="0"/>
          <w:sz w:val="21"/>
          <w:szCs w:val="21"/>
        </w:rPr>
        <w:t>=F/（1+r）</w:t>
      </w:r>
      <w:r>
        <w:rPr>
          <w:rFonts w:hint="eastAsia" w:ascii="宋体" w:hAnsi="宋体" w:eastAsia="宋体" w:cs="宋体"/>
          <w:i w:val="0"/>
          <w:iCs w:val="0"/>
          <w:caps w:val="0"/>
          <w:color w:val="000000"/>
          <w:spacing w:val="0"/>
          <w:sz w:val="21"/>
          <w:szCs w:val="21"/>
          <w:vertAlign w:val="superscript"/>
        </w:rPr>
        <w:t>n</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其中，P</w:t>
      </w:r>
      <w:r>
        <w:rPr>
          <w:rFonts w:hint="eastAsia" w:ascii="宋体" w:hAnsi="宋体" w:eastAsia="宋体" w:cs="宋体"/>
          <w:i w:val="0"/>
          <w:iCs w:val="0"/>
          <w:caps w:val="0"/>
          <w:color w:val="000000"/>
          <w:spacing w:val="0"/>
          <w:sz w:val="21"/>
          <w:szCs w:val="21"/>
          <w:vertAlign w:val="subscript"/>
        </w:rPr>
        <w:t>0</w:t>
      </w:r>
      <w:r>
        <w:rPr>
          <w:rFonts w:hint="eastAsia" w:ascii="宋体" w:hAnsi="宋体" w:eastAsia="宋体" w:cs="宋体"/>
          <w:i w:val="0"/>
          <w:iCs w:val="0"/>
          <w:caps w:val="0"/>
          <w:color w:val="000000"/>
          <w:spacing w:val="0"/>
          <w:sz w:val="21"/>
          <w:szCs w:val="21"/>
        </w:rPr>
        <w:t>为债券交易价格；r为市场利率，n为偿还期限，F为到期日本金与利息之和。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故：P</w:t>
      </w:r>
      <w:r>
        <w:rPr>
          <w:rFonts w:hint="eastAsia" w:ascii="宋体" w:hAnsi="宋体" w:eastAsia="宋体" w:cs="宋体"/>
          <w:i w:val="0"/>
          <w:iCs w:val="0"/>
          <w:caps w:val="0"/>
          <w:color w:val="000000"/>
          <w:spacing w:val="0"/>
          <w:sz w:val="21"/>
          <w:szCs w:val="21"/>
          <w:vertAlign w:val="subscript"/>
        </w:rPr>
        <w:t>0</w:t>
      </w:r>
      <w:r>
        <w:rPr>
          <w:rFonts w:hint="eastAsia" w:ascii="宋体" w:hAnsi="宋体" w:eastAsia="宋体" w:cs="宋体"/>
          <w:i w:val="0"/>
          <w:iCs w:val="0"/>
          <w:caps w:val="0"/>
          <w:color w:val="000000"/>
          <w:spacing w:val="0"/>
          <w:sz w:val="21"/>
          <w:szCs w:val="21"/>
        </w:rPr>
        <w:t>=100/（1+3%）</w:t>
      </w:r>
      <w:r>
        <w:rPr>
          <w:rFonts w:hint="eastAsia" w:ascii="宋体" w:hAnsi="宋体" w:eastAsia="宋体" w:cs="宋体"/>
          <w:i w:val="0"/>
          <w:iCs w:val="0"/>
          <w:caps w:val="0"/>
          <w:color w:val="000000"/>
          <w:spacing w:val="0"/>
          <w:sz w:val="21"/>
          <w:szCs w:val="21"/>
          <w:vertAlign w:val="superscript"/>
        </w:rPr>
        <w:t>1</w:t>
      </w:r>
      <w:r>
        <w:rPr>
          <w:rFonts w:hint="eastAsia" w:ascii="宋体" w:hAnsi="宋体" w:eastAsia="宋体" w:cs="宋体"/>
          <w:i w:val="0"/>
          <w:iCs w:val="0"/>
          <w:caps w:val="0"/>
          <w:color w:val="000000"/>
          <w:spacing w:val="0"/>
          <w:sz w:val="21"/>
          <w:szCs w:val="21"/>
        </w:rPr>
        <w:t>=97.09</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2.面额为100元的债券,不支付利息贴现出售,期限1年,收益率为4%,则交易价格为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A.98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B.99</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C.96</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D.95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零息债券债券定价：P</w:t>
      </w:r>
      <w:r>
        <w:rPr>
          <w:rFonts w:hint="eastAsia" w:ascii="宋体" w:hAnsi="宋体" w:eastAsia="宋体" w:cs="宋体"/>
          <w:i w:val="0"/>
          <w:iCs w:val="0"/>
          <w:caps w:val="0"/>
          <w:color w:val="000000"/>
          <w:spacing w:val="0"/>
          <w:sz w:val="21"/>
          <w:szCs w:val="21"/>
          <w:vertAlign w:val="subscript"/>
        </w:rPr>
        <w:t>0</w:t>
      </w:r>
      <w:r>
        <w:rPr>
          <w:rFonts w:hint="eastAsia" w:ascii="宋体" w:hAnsi="宋体" w:eastAsia="宋体" w:cs="宋体"/>
          <w:i w:val="0"/>
          <w:iCs w:val="0"/>
          <w:caps w:val="0"/>
          <w:color w:val="000000"/>
          <w:spacing w:val="0"/>
          <w:sz w:val="21"/>
          <w:szCs w:val="21"/>
        </w:rPr>
        <w:t>=F/（1+r）</w:t>
      </w:r>
      <w:r>
        <w:rPr>
          <w:rFonts w:hint="eastAsia" w:ascii="宋体" w:hAnsi="宋体" w:eastAsia="宋体" w:cs="宋体"/>
          <w:i w:val="0"/>
          <w:iCs w:val="0"/>
          <w:caps w:val="0"/>
          <w:color w:val="000000"/>
          <w:spacing w:val="0"/>
          <w:sz w:val="21"/>
          <w:szCs w:val="21"/>
          <w:vertAlign w:val="superscript"/>
        </w:rPr>
        <w:t>n</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其中，P</w:t>
      </w:r>
      <w:r>
        <w:rPr>
          <w:rFonts w:hint="eastAsia" w:ascii="宋体" w:hAnsi="宋体" w:eastAsia="宋体" w:cs="宋体"/>
          <w:i w:val="0"/>
          <w:iCs w:val="0"/>
          <w:caps w:val="0"/>
          <w:color w:val="000000"/>
          <w:spacing w:val="0"/>
          <w:sz w:val="21"/>
          <w:szCs w:val="21"/>
          <w:vertAlign w:val="subscript"/>
        </w:rPr>
        <w:t>0</w:t>
      </w:r>
      <w:r>
        <w:rPr>
          <w:rFonts w:hint="eastAsia" w:ascii="宋体" w:hAnsi="宋体" w:eastAsia="宋体" w:cs="宋体"/>
          <w:i w:val="0"/>
          <w:iCs w:val="0"/>
          <w:caps w:val="0"/>
          <w:color w:val="000000"/>
          <w:spacing w:val="0"/>
          <w:sz w:val="21"/>
          <w:szCs w:val="21"/>
        </w:rPr>
        <w:t>为债券交易价格，r为市场利率，n为偿还期限，F为到期日本金与利息之和。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故：P</w:t>
      </w:r>
      <w:r>
        <w:rPr>
          <w:rFonts w:hint="eastAsia" w:ascii="宋体" w:hAnsi="宋体" w:eastAsia="宋体" w:cs="宋体"/>
          <w:i w:val="0"/>
          <w:iCs w:val="0"/>
          <w:caps w:val="0"/>
          <w:color w:val="000000"/>
          <w:spacing w:val="0"/>
          <w:sz w:val="21"/>
          <w:szCs w:val="21"/>
          <w:vertAlign w:val="subscript"/>
        </w:rPr>
        <w:t>0</w:t>
      </w:r>
      <w:r>
        <w:rPr>
          <w:rFonts w:hint="eastAsia" w:ascii="宋体" w:hAnsi="宋体" w:eastAsia="宋体" w:cs="宋体"/>
          <w:i w:val="0"/>
          <w:iCs w:val="0"/>
          <w:caps w:val="0"/>
          <w:color w:val="000000"/>
          <w:spacing w:val="0"/>
          <w:sz w:val="21"/>
          <w:szCs w:val="21"/>
        </w:rPr>
        <w:t>=100/（1+4%）≈96（元）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3.现有按年收益率14％每年付息一次的100元债券，期限10年。当市场利率为13％时，债券价格为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A.94．98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B.105．43</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C.103</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D.100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本题考查分期付息到期归还本金债券的定价公式。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drawing>
          <wp:inline distT="0" distB="0" distL="114300" distR="114300">
            <wp:extent cx="5272405" cy="1125220"/>
            <wp:effectExtent l="0" t="0" r="4445" b="1778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5272405" cy="1125220"/>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4.一年期零息债券的票面金额为100元，如果现在购买价格为92元，则到期收益率为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B.10％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C.8．7％</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D.11．2％</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到期收益率为到期时信用工具的票面收益及其资本损益与买入价格的比率。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在复利方式下，零息债券的到期收益率的计算公式为r=(F／P)</w:t>
      </w:r>
      <w:r>
        <w:rPr>
          <w:rFonts w:hint="eastAsia" w:ascii="宋体" w:hAnsi="宋体" w:eastAsia="宋体" w:cs="宋体"/>
          <w:i w:val="0"/>
          <w:iCs w:val="0"/>
          <w:caps w:val="0"/>
          <w:color w:val="000000"/>
          <w:spacing w:val="0"/>
          <w:sz w:val="21"/>
          <w:szCs w:val="21"/>
          <w:vertAlign w:val="superscript"/>
        </w:rPr>
        <w:t>1／n</w:t>
      </w:r>
      <w:r>
        <w:rPr>
          <w:rFonts w:hint="eastAsia" w:ascii="宋体" w:hAnsi="宋体" w:eastAsia="宋体" w:cs="宋体"/>
          <w:i w:val="0"/>
          <w:iCs w:val="0"/>
          <w:caps w:val="0"/>
          <w:color w:val="000000"/>
          <w:spacing w:val="0"/>
          <w:sz w:val="21"/>
          <w:szCs w:val="21"/>
        </w:rPr>
        <w:t>-1，</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本题中，期限n=1、P=92、F=100，则r=(100／92)</w:t>
      </w:r>
      <w:r>
        <w:rPr>
          <w:rFonts w:hint="eastAsia" w:ascii="宋体" w:hAnsi="宋体" w:eastAsia="宋体" w:cs="宋体"/>
          <w:i w:val="0"/>
          <w:iCs w:val="0"/>
          <w:caps w:val="0"/>
          <w:color w:val="000000"/>
          <w:spacing w:val="0"/>
          <w:sz w:val="21"/>
          <w:szCs w:val="21"/>
          <w:vertAlign w:val="superscript"/>
        </w:rPr>
        <w:t>1</w:t>
      </w:r>
      <w:r>
        <w:rPr>
          <w:rFonts w:hint="eastAsia" w:ascii="宋体" w:hAnsi="宋体" w:eastAsia="宋体" w:cs="宋体"/>
          <w:i w:val="0"/>
          <w:iCs w:val="0"/>
          <w:caps w:val="0"/>
          <w:color w:val="000000"/>
          <w:spacing w:val="0"/>
          <w:sz w:val="21"/>
          <w:szCs w:val="21"/>
        </w:rPr>
        <w:t>-1=8.7％。</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5.通过计算价值与某个财务指标的比值来进行估值的模型是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A.股息贴现模型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B.财务乘数模型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C.公司自由现金流模型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D.股权自由现金流模型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财务倍数模型又称财务乘数模型，这类模型通过计算价值与某个财务指标的比值来进行估值。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认为，任何资产的内在价值均取决于该资产预期的未来现金流的现值。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A.股息贴现模型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B.收入资本化法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C.现值估值模型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D.财务倍数模型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在债券价值分析中，收入资本化法是最为常见的方法，收入资本化法简称收入法或资产基准法，又称现金流贴现法，包括股息(或利息)贴现法和自由现金流贴现法，认为任何资产的内在价值均取决于该资产预期的未来现金流的现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7.假设某零息债券，期限10年，债券面值为1000元，假设贴现率为7%,它的内在价值是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A.478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B.498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C.508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D.550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零息债券又称贴现债券，是一种以低于面值的贴现方式发行，不支付利息，到期按面值偿还的债券。V：表示债券当前时刻的的内在价值，F：表示债券的面值；i：表示债券的贴现率，T：表示债券的投资年限。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V=F/（1+i）</w:t>
      </w:r>
      <w:r>
        <w:rPr>
          <w:rFonts w:hint="eastAsia" w:ascii="宋体" w:hAnsi="宋体" w:eastAsia="宋体" w:cs="宋体"/>
          <w:i w:val="0"/>
          <w:iCs w:val="0"/>
          <w:caps w:val="0"/>
          <w:color w:val="000000"/>
          <w:spacing w:val="0"/>
          <w:sz w:val="21"/>
          <w:szCs w:val="21"/>
          <w:vertAlign w:val="superscript"/>
        </w:rPr>
        <w:t>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drawing>
          <wp:inline distT="0" distB="0" distL="114300" distR="114300">
            <wp:extent cx="2028825" cy="381000"/>
            <wp:effectExtent l="0" t="0" r="9525" b="0"/>
            <wp:docPr id="7" name="图片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IMG_257"/>
                    <pic:cNvPicPr>
                      <a:picLocks noChangeAspect="1"/>
                    </pic:cNvPicPr>
                  </pic:nvPicPr>
                  <pic:blipFill>
                    <a:blip r:embed="rId6"/>
                    <a:stretch>
                      <a:fillRect/>
                    </a:stretch>
                  </pic:blipFill>
                  <pic:spPr>
                    <a:xfrm>
                      <a:off x="0" y="0"/>
                      <a:ext cx="2028825" cy="381000"/>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8.固定利息债券的内在价值公式是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drawing>
          <wp:inline distT="0" distB="0" distL="114300" distR="114300">
            <wp:extent cx="1828800" cy="514350"/>
            <wp:effectExtent l="0" t="0" r="0" b="0"/>
            <wp:docPr id="4" name="图片 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8"/>
                    <pic:cNvPicPr>
                      <a:picLocks noChangeAspect="1"/>
                    </pic:cNvPicPr>
                  </pic:nvPicPr>
                  <pic:blipFill>
                    <a:blip r:embed="rId7"/>
                    <a:stretch>
                      <a:fillRect/>
                    </a:stretch>
                  </pic:blipFill>
                  <pic:spPr>
                    <a:xfrm>
                      <a:off x="0" y="0"/>
                      <a:ext cx="1828800" cy="514350"/>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drawing>
          <wp:inline distT="0" distB="0" distL="114300" distR="114300">
            <wp:extent cx="3648075" cy="571500"/>
            <wp:effectExtent l="0" t="0" r="9525" b="0"/>
            <wp:docPr id="5" name="图片 5"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9"/>
                    <pic:cNvPicPr>
                      <a:picLocks noChangeAspect="1"/>
                    </pic:cNvPicPr>
                  </pic:nvPicPr>
                  <pic:blipFill>
                    <a:blip r:embed="rId8"/>
                    <a:stretch>
                      <a:fillRect/>
                    </a:stretch>
                  </pic:blipFill>
                  <pic:spPr>
                    <a:xfrm>
                      <a:off x="0" y="0"/>
                      <a:ext cx="3648075" cy="571500"/>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drawing>
          <wp:inline distT="0" distB="0" distL="114300" distR="114300">
            <wp:extent cx="2543175" cy="447675"/>
            <wp:effectExtent l="0" t="0" r="9525" b="9525"/>
            <wp:docPr id="6" name="图片 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0"/>
                    <pic:cNvPicPr>
                      <a:picLocks noChangeAspect="1"/>
                    </pic:cNvPicPr>
                  </pic:nvPicPr>
                  <pic:blipFill>
                    <a:blip r:embed="rId9"/>
                    <a:stretch>
                      <a:fillRect/>
                    </a:stretch>
                  </pic:blipFill>
                  <pic:spPr>
                    <a:xfrm>
                      <a:off x="0" y="0"/>
                      <a:ext cx="2543175" cy="447675"/>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drawing>
          <wp:inline distT="0" distB="0" distL="114300" distR="114300">
            <wp:extent cx="790575" cy="542925"/>
            <wp:effectExtent l="0" t="0" r="9525" b="9525"/>
            <wp:docPr id="8" name="图片 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IMG_261"/>
                    <pic:cNvPicPr>
                      <a:picLocks noChangeAspect="1"/>
                    </pic:cNvPicPr>
                  </pic:nvPicPr>
                  <pic:blipFill>
                    <a:blip r:embed="rId10"/>
                    <a:stretch>
                      <a:fillRect/>
                    </a:stretch>
                  </pic:blipFill>
                  <pic:spPr>
                    <a:xfrm>
                      <a:off x="0" y="0"/>
                      <a:ext cx="790575" cy="542925"/>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固定利息债券又被称为直接债券或定息债券。购买固定利息债券的投资者不仅可以在期满时收回本金，而且可定期获得固定的利息收入，固定利息债券的内在价值公式为：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drawing>
          <wp:inline distT="0" distB="0" distL="114300" distR="114300">
            <wp:extent cx="3457575" cy="381000"/>
            <wp:effectExtent l="0" t="0" r="9525" b="0"/>
            <wp:docPr id="3" name="图片 8"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IMG_262"/>
                    <pic:cNvPicPr>
                      <a:picLocks noChangeAspect="1"/>
                    </pic:cNvPicPr>
                  </pic:nvPicPr>
                  <pic:blipFill>
                    <a:blip r:embed="rId11"/>
                    <a:stretch>
                      <a:fillRect/>
                    </a:stretch>
                  </pic:blipFill>
                  <pic:spPr>
                    <a:xfrm>
                      <a:off x="0" y="0"/>
                      <a:ext cx="3457575" cy="381000"/>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式中，V表示债券当前时刻的内在价值；c表示债券每一期的利息；F表示债券的面值；i表示债券的贴现率；T表示债券的投资年限。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9.债券持有人在约定期间，可以选择按照事先约定的价格将债券卖回给发行人的权利，称为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A.可转换权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B.可交换权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C.可回售权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D.可赎回权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A错误：可转换权是指债券持有人享有在约定期间，以约定的转换价格将持有的债券转换成发行公司股份的权利。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可交换权是指债券持有人有权在约定期间将债券交换成其他上市公司的股份，而不是发行公司的股份，由于可交换权的标的股份不是发行人的股份，发行人需在发行时将持有的其他上市公司股份质押给承销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C正确：可回售权是指债券持有人在约定期间，可以选择按照事先约定的价格将债券卖回给发行人的权利。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D错误：可赎回权是指债券发行人在约定期间内以事先约定的赎回价格从投资者手中买回债券的权利。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10.投资者利用隐含在股票历史价格和历史成交量中的信息寻找未来趋势的决策模式，称为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A.投资分析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B.基本面分析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C.趋势分析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D.权益估值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投资者利用隐含在股票历史价格和历史成交量中的信息寻找未来趋势的决策模式称为趋势分析或技术分析。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.公司自由现金流模型包括的步骤有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A.计算自由现金流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B.计算用以代理贴现率的资本成本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C.计算市盈率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D.利用公司自由现金流模型进行公司总体价值估值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E.基于公司总体价值计算权益价值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公司自由现金流模型主要包括四个步骤：</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①计算自由现金流；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②计算用以代理贴现率的资本成本；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③利用公司自由现金流模型进行公司总体价值估值；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④基于公司总体价值计算权益价值。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.选择贴现率要考虑的因素有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A.货币的时间价值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B.通货膨胀情况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C.债券评级情况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D.所评估的未来现金流的风险大小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E.利率变化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一般来说，选择贴现率要考虑两个因素：一个是货币的时间价值；二是所评估的未来现金流的风险大小。前一个因素主要取决于未来利率的变动、通货膨胀情况、债券期限的长短等，后一个因素与所评估债券的信用级别、流动性、税收待遇以及特殊条款紧密相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.以下属于债券价值的影响因素的有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A.贴现率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B.信用等级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C.息票率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D.发行人经营状况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E.含权条款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债券价值的影响因素包括贴现率、信用等级、息票率、剩余期限、税收待遇、含权条款、流通性、通货膨胀等。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4.根据信用评级，债券可划分为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A.正向评级债券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B.投资级债券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C.投机级债券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D.良好展望债券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E.负向评级债券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信用评级将债券划分为两大类别：一类信誉较高，违约风险较小，属于投资级债券；另一类信誉较低，属于投机级债券。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5.根据权利内容的不同，债券的附加权利有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A.可转让权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B.可转换权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C.可交换权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D.可延期权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E.可赎回权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根据权利内容的不同，债券的附加权利有可转换权、可交换权、可回售权、可赎回权等。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6.基本面信息包括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A.失业率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B.国内生产总值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C.行业增长率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D.历史成交价格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E.商业周期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影响股票内在价值的信息，称为基本面信息，基本面信息包括失业率、国内生产总值、利率、汇率等宏观经济指标，也包括行业增长率、商业周期等行业指标，以及公司自身经营特征和相关财务信息。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综上，该题选ABCE。</w:t>
      </w:r>
      <w:r>
        <w:rPr>
          <w:rFonts w:hint="eastAsia" w:ascii="宋体" w:hAnsi="宋体" w:eastAsia="宋体" w:cs="宋体"/>
          <w:b/>
          <w:bCs/>
          <w:spacing w:val="11"/>
          <w:sz w:val="21"/>
          <w:szCs w:val="21"/>
        </w:rPr>
        <w:br w:type="page"/>
      </w:r>
    </w:p>
    <w:p w14:paraId="34C3480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金融衍生品定价</w:t>
      </w:r>
    </w:p>
    <w:p w14:paraId="07D172CE">
      <w:pPr>
        <w:widowControl w:val="0"/>
        <w:numPr>
          <w:ilvl w:val="0"/>
          <w:numId w:val="0"/>
        </w:numPr>
        <w:jc w:val="both"/>
        <w:rPr>
          <w:rFonts w:hint="eastAsia" w:ascii="宋体" w:hAnsi="宋体" w:eastAsia="宋体" w:cs="宋体"/>
          <w:spacing w:val="13"/>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1.当标的资产价格与利率正相关时，期货价格和远期价格的关系是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A.期货价格高于远期价格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B.远期价格高于期货价格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C.二者相等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D.不确定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当标的资产价格与利率正相关时，期货合约采用逐日盯市制度，盈利可及时以现金形式获得并进行再投资（因利率与标的资产价格正相关，市场利率大概率上升，再投资能获取更高收益）；而远期合约是到期一次性结算，无法享受期间因利率上升带来的额外收益。所以期货合约的收益更具优势，期货价格高于远期价格，选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2.远期价格与标的资产的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息息相关。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A.期货价格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B.理论价格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C.现货价格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D.交割价格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C选项正确，远期价格与标的资产的现货价格息息相关，而远期合约价值则是由远期交割价格与远期理论价格的价差决定的。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A选项：期货价格是在期货市场上形成的价格。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B选项：远期价格本身就是标的资产的一种理论价格，不能说远期价格与自身理论价格息息相关，逻辑上不成立。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D选项：交割价格是远期合约中约定的未来交割标的资产的价格，是合约签订时确定的。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是指期权费减去内在价值后剩余的部分。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A.期权的内涵价值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B.期权的合约价值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C.期权的执行价值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D.期权的时间价值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时间价值指的是期权费减去内在价值部分以后的余值。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4.对金融期货套期保值操作描述不正确的是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A.投资者担心利率上升带来的损失时，可以通过购买远期利率协议进行套期保值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B.当面临外币汇率上升带来的损失时，可以买入该外币的期货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C.当面临外币汇率上升带来的损失时，可以卖出该外币的期货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D.投资者担心利率下降带来的损失时，可以通过卖出远期利率协议进行套期保值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A正确：当投资者担心利率上升给自己造成损失时可以通过购买远期利率协议进行套期保值，其结果是将未来的借款利率固定在某一水平上。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D正确：相反，当投资者担心利率下降给自己造成损失时，可以通过卖出远期利率协议进行套期保值，其结果是将未来投资的收益固定在某一水平上。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B正确、C错误：当面临外币汇率上升带来的损失时，可以买入该外币的期货；相反则卖出该外币的期货。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假设某投资者认为某一股票的价格在以后的3个月中将发生重大变化，该股票的现行市场价值为69美元，该投资者可以通过同时购买到期期限为3个月，执行价格为70美元的一个看涨期权和一个看跌期权来进行套利。假定看涨期权的成本为4美元，看跌期权的成本为3美元。如果股票价格保持69美元不变，则该策略可获利</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美元。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A.6</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B.-6</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C.7</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D.-7</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假设某投资者认为某一股票的价格在以后的3个月中将发生重大变化，该股票的现行市场价值为69美元，该投资者可以通过同时购买到期期限为3个月，执行价格为70美元的一个看涨期权和一个看跌期权来进行套利。假定看涨期权的成本为4美元，看跌期权的成本为3美元。如果股票价格保持69美元不变，则该策略的成本为6美元（初始投资7美元，此时看涨期权到期价值为0，看跌期权到期价值为1美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6.远期价格的公式表明资产的远期价格仅与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有关。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A.未来资产价格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B.当前现货价格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C.交割价格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D.资产真实价值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远期价格的公式表明资产的远期价格仅与当前现货价格有关，与未来的资产价格无关，因此远期价格并不是对未来资产价格的预期。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7.关于期权有效期对期权价格的影响，下列说法正确的是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A.无论美式还是欧式期权，有效期越长，期权价格一定越高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B.对于美式期权，有效期越长，期权持有者获利机会越大，期权价格越高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C.对于欧式期权，有效期长的期权价格一定高于有效期短的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D.有效期对美式期权和欧式期权价格的影响规律完全相同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选项错误：该说法太绝对。对于欧式期权，由于只能在到期日行权，有效期长的期权价格不一定就更高，因为较长有效期内标的资产价格变动存在不确定性，有可能出现不利变动使期权价值降低，所以不是无论美式还是欧式期权，有效期越长价格就一定越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B选项正确：美式期权可以在有效期内任意时间行权，有效期越长，期权持有者就有更多获利机会（有更多时间等待标的资产价格向有利方向变动），期权价格通常越高。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C选项错误：对于欧式期权，因为只能到期行权，有效期长的期权，虽然时间长，但标的资产价格在较长时间内波动可能使期权价值不一定更高。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选项错误：美式期权和欧式期权行权规则不同，有效期对它们价格影响规律不同，美式期权有效期越长通常越有利、价格越高（有更多行权时机选择），欧式期权受标的资产价格波动等复杂因素影响，有效期长不一定价格更高，所以影响规律不完全相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8.远期价格是使远期合约价值为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的交割价格，它依赖于标的资产的现价。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B.1</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C.-1</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D.-2</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远期价格是使远期合约价值为0的交割价格。远期价格不但可用于确定远期合约的交割价格，还可用于计算远期合约的价值，同时也是期货价格的参考。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9.假设一支无红利支付的股票当前股价为20元，无风险连续复利为0．05,则该股票1年期的远期价格是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A.20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B.20．05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C.21．03</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D.10．05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F</w:t>
      </w:r>
      <w:r>
        <w:rPr>
          <w:rFonts w:hint="eastAsia" w:ascii="宋体" w:hAnsi="宋体" w:eastAsia="宋体" w:cs="宋体"/>
          <w:i w:val="0"/>
          <w:iCs w:val="0"/>
          <w:caps w:val="0"/>
          <w:color w:val="000000"/>
          <w:spacing w:val="0"/>
          <w:sz w:val="21"/>
          <w:szCs w:val="21"/>
          <w:vertAlign w:val="subscript"/>
        </w:rPr>
        <w:t>t</w:t>
      </w:r>
      <w:r>
        <w:rPr>
          <w:rFonts w:hint="eastAsia" w:ascii="宋体" w:hAnsi="宋体" w:eastAsia="宋体" w:cs="宋体"/>
          <w:i w:val="0"/>
          <w:iCs w:val="0"/>
          <w:caps w:val="0"/>
          <w:color w:val="000000"/>
          <w:spacing w:val="0"/>
          <w:sz w:val="21"/>
          <w:szCs w:val="21"/>
        </w:rPr>
        <w:t>=S</w:t>
      </w:r>
      <w:r>
        <w:rPr>
          <w:rFonts w:hint="eastAsia" w:ascii="宋体" w:hAnsi="宋体" w:eastAsia="宋体" w:cs="宋体"/>
          <w:i w:val="0"/>
          <w:iCs w:val="0"/>
          <w:caps w:val="0"/>
          <w:color w:val="000000"/>
          <w:spacing w:val="0"/>
          <w:sz w:val="21"/>
          <w:szCs w:val="21"/>
          <w:vertAlign w:val="subscript"/>
        </w:rPr>
        <w:t>t</w:t>
      </w:r>
      <w:r>
        <w:rPr>
          <w:rFonts w:hint="eastAsia" w:ascii="宋体" w:hAnsi="宋体" w:eastAsia="宋体" w:cs="宋体"/>
          <w:i w:val="0"/>
          <w:iCs w:val="0"/>
          <w:caps w:val="0"/>
          <w:color w:val="000000"/>
          <w:spacing w:val="0"/>
          <w:sz w:val="21"/>
          <w:szCs w:val="21"/>
        </w:rPr>
        <w:t>e</w:t>
      </w:r>
      <w:r>
        <w:rPr>
          <w:rFonts w:hint="eastAsia" w:ascii="宋体" w:hAnsi="宋体" w:eastAsia="宋体" w:cs="宋体"/>
          <w:i w:val="0"/>
          <w:iCs w:val="0"/>
          <w:caps w:val="0"/>
          <w:color w:val="000000"/>
          <w:spacing w:val="0"/>
          <w:sz w:val="21"/>
          <w:szCs w:val="21"/>
          <w:vertAlign w:val="superscript"/>
        </w:rPr>
        <w:t>r（T-t）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F</w:t>
      </w:r>
      <w:r>
        <w:rPr>
          <w:rFonts w:hint="eastAsia" w:ascii="宋体" w:hAnsi="宋体" w:eastAsia="宋体" w:cs="宋体"/>
          <w:i w:val="0"/>
          <w:iCs w:val="0"/>
          <w:caps w:val="0"/>
          <w:color w:val="000000"/>
          <w:spacing w:val="0"/>
          <w:sz w:val="21"/>
          <w:szCs w:val="21"/>
          <w:vertAlign w:val="subscript"/>
        </w:rPr>
        <w:t>t</w:t>
      </w:r>
      <w:r>
        <w:rPr>
          <w:rFonts w:hint="eastAsia" w:ascii="宋体" w:hAnsi="宋体" w:eastAsia="宋体" w:cs="宋体"/>
          <w:i w:val="0"/>
          <w:iCs w:val="0"/>
          <w:caps w:val="0"/>
          <w:color w:val="000000"/>
          <w:spacing w:val="0"/>
          <w:sz w:val="21"/>
          <w:szCs w:val="21"/>
        </w:rPr>
        <w:t>：远期价格，S</w:t>
      </w:r>
      <w:r>
        <w:rPr>
          <w:rFonts w:hint="eastAsia" w:ascii="宋体" w:hAnsi="宋体" w:eastAsia="宋体" w:cs="宋体"/>
          <w:i w:val="0"/>
          <w:iCs w:val="0"/>
          <w:caps w:val="0"/>
          <w:color w:val="000000"/>
          <w:spacing w:val="0"/>
          <w:sz w:val="21"/>
          <w:szCs w:val="21"/>
          <w:vertAlign w:val="subscript"/>
        </w:rPr>
        <w:t>t</w:t>
      </w:r>
      <w:r>
        <w:rPr>
          <w:rFonts w:hint="eastAsia" w:ascii="宋体" w:hAnsi="宋体" w:eastAsia="宋体" w:cs="宋体"/>
          <w:i w:val="0"/>
          <w:iCs w:val="0"/>
          <w:caps w:val="0"/>
          <w:color w:val="000000"/>
          <w:spacing w:val="0"/>
          <w:sz w:val="21"/>
          <w:szCs w:val="21"/>
        </w:rPr>
        <w:t>：股票当前的价格，r：无风险连续复利，e为自然对数的底，t：为当前时间，T：是远期合约的到期日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远期价格=20e</w:t>
      </w:r>
      <w:r>
        <w:rPr>
          <w:rFonts w:hint="eastAsia" w:ascii="宋体" w:hAnsi="宋体" w:eastAsia="宋体" w:cs="宋体"/>
          <w:i w:val="0"/>
          <w:iCs w:val="0"/>
          <w:caps w:val="0"/>
          <w:color w:val="000000"/>
          <w:spacing w:val="0"/>
          <w:sz w:val="21"/>
          <w:szCs w:val="21"/>
          <w:vertAlign w:val="superscript"/>
        </w:rPr>
        <w:t>0.05</w:t>
      </w:r>
      <w:r>
        <w:rPr>
          <w:rFonts w:hint="eastAsia" w:ascii="宋体" w:hAnsi="宋体" w:eastAsia="宋体" w:cs="宋体"/>
          <w:i w:val="0"/>
          <w:iCs w:val="0"/>
          <w:caps w:val="0"/>
          <w:color w:val="000000"/>
          <w:spacing w:val="0"/>
          <w:sz w:val="21"/>
          <w:szCs w:val="21"/>
        </w:rPr>
        <w:t>=21．03(元)。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10.关于期货交易的说法，正确的是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A.期货交易是场内标准化交易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B.期货交易是场外柜台交易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C.期货交易是场内个性化交易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D.期货交易是场外零售交易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期货交易是在场内进行的标准化交易。</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A040E9"/>
    <w:rsid w:val="65D472EE"/>
    <w:rsid w:val="7C201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7960</Words>
  <Characters>8687</Characters>
  <Lines>0</Lines>
  <Paragraphs>0</Paragraphs>
  <TotalTime>2</TotalTime>
  <ScaleCrop>false</ScaleCrop>
  <LinksUpToDate>false</LinksUpToDate>
  <CharactersWithSpaces>8803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2025-08-13T10:56:00Z</dcterms:created>
  <dc:creator>go41</dc:creator>
  <cp:lastModifiedBy>玉生烟罗</cp:lastModifiedBy>
  <dcterms:modified xsi:type="dcterms:W3CDTF">2025-08-13T12:30:45Z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eyJoZGlkIjoiNDRlYTAwOTc5MTNmOWRiZDM5YzMzZWQ3MzliNTM4YTQiLCJ1c2VySWQiOiI0NDQwODk2NzgifQ==</vt:lpwstr>
  </property>
  <property fmtid="{D5CDD505-2E9C-101B-9397-08002B2CF9AE}" pid="4" name="ICV">
    <vt:lpwstr>4EEE84C8478E4EFE803996D072FC380C_12</vt:lpwstr>
  </property>
</Properties>
</file>