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71FF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利率与货币的时间价值</w:t>
      </w:r>
    </w:p>
    <w:p w14:paraId="37BC6E6B">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1.根据中国人民银行规定的计息规则，在我国，按复利计息的是（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A.定期存款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B.活期储蓄存款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C.零存整取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D.定活两便</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B正确：根据中国人民银行规定的计息规则，在我国，</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t>活期储蓄存款按复利，每个季度计息。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ACD错误：定期存款、定活两便、零存整取、整存整取、整存零取等其他储蓄存款是按单利计息的。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2.假设100元存款以6％的年利率，按复利每半年支付一次利息，则一年后的利息为（  ）元。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B.6.09</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C.106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D.106.09</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I=FV－P=P[（1+r）</w:t>
      </w:r>
      <w:r>
        <w:rPr>
          <w:rFonts w:hint="eastAsia" w:ascii="宋体" w:hAnsi="宋体" w:eastAsia="宋体" w:cs="宋体"/>
          <w:i w:val="0"/>
          <w:iCs w:val="0"/>
          <w:caps w:val="0"/>
          <w:color w:val="000000"/>
          <w:spacing w:val="0"/>
          <w:kern w:val="0"/>
          <w:sz w:val="21"/>
          <w:szCs w:val="21"/>
          <w:vertAlign w:val="super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其中，FV表示本息和，I表示利息，P表示本金，r表示利率，n表示计息期数。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故，I=100×[（1+（6%/2））</w:t>
      </w:r>
      <w:r>
        <w:rPr>
          <w:rFonts w:hint="eastAsia" w:ascii="宋体" w:hAnsi="宋体" w:eastAsia="宋体" w:cs="宋体"/>
          <w:i w:val="0"/>
          <w:iCs w:val="0"/>
          <w:caps w:val="0"/>
          <w:color w:val="000000"/>
          <w:spacing w:val="0"/>
          <w:kern w:val="0"/>
          <w:sz w:val="21"/>
          <w:szCs w:val="21"/>
          <w:vertAlign w:val="superscript"/>
          <w:lang w:val="en-US" w:eastAsia="zh-CN" w:bidi="ar"/>
        </w:rPr>
        <w:t>2</w:t>
      </w:r>
      <w:r>
        <w:rPr>
          <w:rFonts w:hint="eastAsia" w:ascii="宋体" w:hAnsi="宋体" w:eastAsia="宋体" w:cs="宋体"/>
          <w:i w:val="0"/>
          <w:iCs w:val="0"/>
          <w:caps w:val="0"/>
          <w:color w:val="000000"/>
          <w:spacing w:val="0"/>
          <w:kern w:val="0"/>
          <w:sz w:val="21"/>
          <w:szCs w:val="21"/>
          <w:lang w:val="en-US" w:eastAsia="zh-CN" w:bidi="ar"/>
        </w:rPr>
        <w:t>-1]=106.09-100=6.09（元）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3.投资者用200万元进行为期2年的投资，年利率为6%，一年计息一次，按单利计算，则投资者在第2年末可得到的本息和为（  ）万元。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A.224</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B.224.72</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C.240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D.220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假如当前有一笔资金，共计金额为P，存期为n年，年利率为r，如果按单利计算，则n年后的终值为：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FV</w:t>
      </w:r>
      <w:r>
        <w:rPr>
          <w:rFonts w:hint="eastAsia" w:ascii="宋体" w:hAnsi="宋体" w:eastAsia="宋体" w:cs="宋体"/>
          <w:i w:val="0"/>
          <w:iCs w:val="0"/>
          <w:caps w:val="0"/>
          <w:color w:val="000000"/>
          <w:spacing w:val="0"/>
          <w:kern w:val="0"/>
          <w:sz w:val="21"/>
          <w:szCs w:val="21"/>
          <w:vertAlign w:val="sub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=P+Prn=P（1+rn）</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则：FV</w:t>
      </w:r>
      <w:r>
        <w:rPr>
          <w:rFonts w:hint="eastAsia" w:ascii="宋体" w:hAnsi="宋体" w:eastAsia="宋体" w:cs="宋体"/>
          <w:i w:val="0"/>
          <w:iCs w:val="0"/>
          <w:caps w:val="0"/>
          <w:color w:val="000000"/>
          <w:spacing w:val="0"/>
          <w:kern w:val="0"/>
          <w:sz w:val="21"/>
          <w:szCs w:val="21"/>
          <w:vertAlign w:val="sub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=P(1+r×n)=200×(1+6%×2)=224(万元)。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4.某人在银行存入10万元，期限两年，年利率为6％，每半年支付一次利息，如果按复利计算，两年后的本利和是（  ）万元。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A.11．20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B.10．23</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C.10．26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D.11．26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若本金为P，年利率为r，每年的计息次数为m，则第n年年末的本息和FV</w:t>
      </w:r>
      <w:r>
        <w:rPr>
          <w:rFonts w:hint="eastAsia" w:ascii="宋体" w:hAnsi="宋体" w:eastAsia="宋体" w:cs="宋体"/>
          <w:i w:val="0"/>
          <w:iCs w:val="0"/>
          <w:caps w:val="0"/>
          <w:color w:val="000000"/>
          <w:spacing w:val="0"/>
          <w:kern w:val="0"/>
          <w:sz w:val="21"/>
          <w:szCs w:val="21"/>
          <w:vertAlign w:val="sub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=P（1+r/m）^（nm）</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由题意，r=6%，每半年支付一次利息，m=2</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则两年后的本利和=10×（1+6%/2）</w:t>
      </w:r>
      <w:r>
        <w:rPr>
          <w:rFonts w:hint="eastAsia" w:ascii="宋体" w:hAnsi="宋体" w:eastAsia="宋体" w:cs="宋体"/>
          <w:i w:val="0"/>
          <w:iCs w:val="0"/>
          <w:caps w:val="0"/>
          <w:color w:val="000000"/>
          <w:spacing w:val="0"/>
          <w:kern w:val="0"/>
          <w:sz w:val="21"/>
          <w:szCs w:val="21"/>
          <w:vertAlign w:val="superscript"/>
          <w:lang w:val="en-US" w:eastAsia="zh-CN" w:bidi="ar"/>
        </w:rPr>
        <w:t>4</w:t>
      </w:r>
      <w:r>
        <w:rPr>
          <w:rFonts w:hint="eastAsia" w:ascii="宋体" w:hAnsi="宋体" w:eastAsia="宋体" w:cs="宋体"/>
          <w:i w:val="0"/>
          <w:iCs w:val="0"/>
          <w:caps w:val="0"/>
          <w:color w:val="000000"/>
          <w:spacing w:val="0"/>
          <w:kern w:val="0"/>
          <w:sz w:val="21"/>
          <w:szCs w:val="21"/>
          <w:lang w:val="en-US" w:eastAsia="zh-CN" w:bidi="ar"/>
        </w:rPr>
        <w:t>=11.26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5.某投资者购买了10000元的投资理财产品，期限2年，年利率为6％，按年支付利息。假定不计复利，第一年收到的利息也不用于再投资，则该理财产品到期的本息和为（  ）元。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A.10600．00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B.11200．00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C.11910．16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D.11236．00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假如当前有一笔资金，共计金额为P，存期为n年，年利率为r，如果按单利计算，则n年后的终值为：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FVn=P+Prn=P（1+rn）</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故，本息和FVn=10000×（1+6％×2）=11200（元）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6.王先生现在有1万元现金，他想将这笔钱存入银行，以便将来退休时使用，假设王先生还有10年退休，如果年利率为4％，按复利计算，则10年后王先生退休时能拿到多少钱?（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A.14100．5元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B.14000元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C.14802．44元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D.14002元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假设当前有一笔资金，共计金额为P，存期为n年，年利率为r，如果每年复利一次，则n年后的终值FV</w:t>
      </w:r>
      <w:r>
        <w:rPr>
          <w:rFonts w:hint="eastAsia" w:ascii="宋体" w:hAnsi="宋体" w:eastAsia="宋体" w:cs="宋体"/>
          <w:i w:val="0"/>
          <w:iCs w:val="0"/>
          <w:caps w:val="0"/>
          <w:color w:val="000000"/>
          <w:spacing w:val="0"/>
          <w:kern w:val="0"/>
          <w:sz w:val="21"/>
          <w:szCs w:val="21"/>
          <w:vertAlign w:val="sub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FV</w:t>
      </w:r>
      <w:r>
        <w:rPr>
          <w:rFonts w:hint="eastAsia" w:ascii="宋体" w:hAnsi="宋体" w:eastAsia="宋体" w:cs="宋体"/>
          <w:i w:val="0"/>
          <w:iCs w:val="0"/>
          <w:caps w:val="0"/>
          <w:color w:val="000000"/>
          <w:spacing w:val="0"/>
          <w:kern w:val="0"/>
          <w:sz w:val="21"/>
          <w:szCs w:val="21"/>
          <w:vertAlign w:val="sub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=P×(1+r)</w:t>
      </w:r>
      <w:r>
        <w:rPr>
          <w:rFonts w:hint="eastAsia" w:ascii="宋体" w:hAnsi="宋体" w:eastAsia="宋体" w:cs="宋体"/>
          <w:i w:val="0"/>
          <w:iCs w:val="0"/>
          <w:caps w:val="0"/>
          <w:color w:val="000000"/>
          <w:spacing w:val="0"/>
          <w:kern w:val="0"/>
          <w:sz w:val="21"/>
          <w:szCs w:val="21"/>
          <w:vertAlign w:val="super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故，FV</w:t>
      </w:r>
      <w:r>
        <w:rPr>
          <w:rFonts w:hint="eastAsia" w:ascii="宋体" w:hAnsi="宋体" w:eastAsia="宋体" w:cs="宋体"/>
          <w:i w:val="0"/>
          <w:iCs w:val="0"/>
          <w:caps w:val="0"/>
          <w:color w:val="000000"/>
          <w:spacing w:val="0"/>
          <w:kern w:val="0"/>
          <w:sz w:val="21"/>
          <w:szCs w:val="21"/>
          <w:vertAlign w:val="sub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=P×(1+r)</w:t>
      </w:r>
      <w:r>
        <w:rPr>
          <w:rFonts w:hint="eastAsia" w:ascii="宋体" w:hAnsi="宋体" w:eastAsia="宋体" w:cs="宋体"/>
          <w:i w:val="0"/>
          <w:iCs w:val="0"/>
          <w:caps w:val="0"/>
          <w:color w:val="000000"/>
          <w:spacing w:val="0"/>
          <w:kern w:val="0"/>
          <w:sz w:val="21"/>
          <w:szCs w:val="21"/>
          <w:vertAlign w:val="super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=10000×(1+4％)</w:t>
      </w:r>
      <w:r>
        <w:rPr>
          <w:rFonts w:hint="eastAsia" w:ascii="宋体" w:hAnsi="宋体" w:eastAsia="宋体" w:cs="宋体"/>
          <w:i w:val="0"/>
          <w:iCs w:val="0"/>
          <w:caps w:val="0"/>
          <w:color w:val="000000"/>
          <w:spacing w:val="0"/>
          <w:kern w:val="0"/>
          <w:sz w:val="21"/>
          <w:szCs w:val="21"/>
          <w:vertAlign w:val="superscript"/>
          <w:lang w:val="en-US" w:eastAsia="zh-CN" w:bidi="ar"/>
        </w:rPr>
        <w:t>10</w:t>
      </w:r>
      <w:r>
        <w:rPr>
          <w:rFonts w:hint="eastAsia" w:ascii="宋体" w:hAnsi="宋体" w:eastAsia="宋体" w:cs="宋体"/>
          <w:i w:val="0"/>
          <w:iCs w:val="0"/>
          <w:caps w:val="0"/>
          <w:color w:val="000000"/>
          <w:spacing w:val="0"/>
          <w:kern w:val="0"/>
          <w:sz w:val="21"/>
          <w:szCs w:val="21"/>
          <w:lang w:val="en-US" w:eastAsia="zh-CN" w:bidi="ar"/>
        </w:rPr>
        <w:t>=14802．44(元)。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7.某人打算3年后可以收到100万元，银行利率为8％，一个季度付一次利息，其应在银行存入（  ）万元。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A.100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B.78．85</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C.76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D.78</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假如一年之内多次支付利息，此时现值的计算公式为：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PV=A</w:t>
      </w:r>
      <w:r>
        <w:rPr>
          <w:rFonts w:hint="eastAsia" w:ascii="宋体" w:hAnsi="宋体" w:eastAsia="宋体" w:cs="宋体"/>
          <w:i w:val="0"/>
          <w:iCs w:val="0"/>
          <w:caps w:val="0"/>
          <w:color w:val="000000"/>
          <w:spacing w:val="0"/>
          <w:kern w:val="0"/>
          <w:sz w:val="21"/>
          <w:szCs w:val="21"/>
          <w:vertAlign w:val="sub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/（1+r/m）</w:t>
      </w:r>
      <w:r>
        <w:rPr>
          <w:rFonts w:hint="eastAsia" w:ascii="宋体" w:hAnsi="宋体" w:eastAsia="宋体" w:cs="宋体"/>
          <w:i w:val="0"/>
          <w:iCs w:val="0"/>
          <w:caps w:val="0"/>
          <w:color w:val="000000"/>
          <w:spacing w:val="0"/>
          <w:kern w:val="0"/>
          <w:sz w:val="21"/>
          <w:szCs w:val="21"/>
          <w:vertAlign w:val="superscript"/>
          <w:lang w:val="en-US" w:eastAsia="zh-CN" w:bidi="ar"/>
        </w:rPr>
        <w:t>nm</w:t>
      </w:r>
      <w:r>
        <w:rPr>
          <w:rFonts w:hint="eastAsia" w:ascii="宋体" w:hAnsi="宋体" w:eastAsia="宋体" w:cs="宋体"/>
          <w:i w:val="0"/>
          <w:iCs w:val="0"/>
          <w:caps w:val="0"/>
          <w:color w:val="000000"/>
          <w:spacing w:val="0"/>
          <w:kern w:val="0"/>
          <w:sz w:val="21"/>
          <w:szCs w:val="21"/>
          <w:vertAlign w:val="superscript"/>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其中，An表示第n年年末的现金流量，r表示年贴现率，m表示年计息次数。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故，PV=100/（1+8%/4）</w:t>
      </w:r>
      <w:r>
        <w:rPr>
          <w:rFonts w:hint="eastAsia" w:ascii="宋体" w:hAnsi="宋体" w:eastAsia="宋体" w:cs="宋体"/>
          <w:i w:val="0"/>
          <w:iCs w:val="0"/>
          <w:caps w:val="0"/>
          <w:color w:val="000000"/>
          <w:spacing w:val="0"/>
          <w:kern w:val="0"/>
          <w:sz w:val="21"/>
          <w:szCs w:val="21"/>
          <w:vertAlign w:val="superscript"/>
          <w:lang w:val="en-US" w:eastAsia="zh-CN" w:bidi="ar"/>
        </w:rPr>
        <w:t>3×4</w:t>
      </w:r>
      <w:r>
        <w:rPr>
          <w:rFonts w:hint="eastAsia" w:ascii="宋体" w:hAnsi="宋体" w:eastAsia="宋体" w:cs="宋体"/>
          <w:i w:val="0"/>
          <w:iCs w:val="0"/>
          <w:caps w:val="0"/>
          <w:color w:val="000000"/>
          <w:spacing w:val="0"/>
          <w:kern w:val="0"/>
          <w:sz w:val="21"/>
          <w:szCs w:val="21"/>
          <w:lang w:val="en-US" w:eastAsia="zh-CN" w:bidi="ar"/>
        </w:rPr>
        <w:t>≈78.85</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8.按计算利率的期限单位划分，利率可以分为（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A.年利率、月利率、日利率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B.名义利率和实际利率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C.商业银行利率和中央银行利率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D.固定利率和浮动利率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A正确：按计算利率的期限单位，利率可划分为年利率、月利率、日利率。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B错误：按利率真实水平的不同，利率可分为名义利率与实际利率。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C错误：干扰选项，教材无此内容。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D错误：按利率决定方式的不同，利率可分为固定利率与浮动利率。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9.假定某投资者用10 000元进行投资，已知年利率为8％，按复利每半年计算一次利息，则一年后该投资者的本息和为（  ）元。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A.10 400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B.10 800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C.10 816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D.11 664</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根据复利的计算公式FV=P(1+R)</w:t>
      </w:r>
      <w:r>
        <w:rPr>
          <w:rFonts w:hint="eastAsia" w:ascii="宋体" w:hAnsi="宋体" w:eastAsia="宋体" w:cs="宋体"/>
          <w:i w:val="0"/>
          <w:iCs w:val="0"/>
          <w:caps w:val="0"/>
          <w:color w:val="000000"/>
          <w:spacing w:val="0"/>
          <w:kern w:val="0"/>
          <w:sz w:val="21"/>
          <w:szCs w:val="21"/>
          <w:vertAlign w:val="superscript"/>
          <w:lang w:val="en-US" w:eastAsia="zh-CN" w:bidi="ar"/>
        </w:rPr>
        <w:t>N</w:t>
      </w:r>
      <w:r>
        <w:rPr>
          <w:rFonts w:hint="eastAsia" w:ascii="宋体" w:hAnsi="宋体" w:eastAsia="宋体" w:cs="宋体"/>
          <w:i w:val="0"/>
          <w:iCs w:val="0"/>
          <w:caps w:val="0"/>
          <w:color w:val="000000"/>
          <w:spacing w:val="0"/>
          <w:kern w:val="0"/>
          <w:sz w:val="21"/>
          <w:szCs w:val="21"/>
          <w:lang w:val="en-US" w:eastAsia="zh-CN" w:bidi="ar"/>
        </w:rPr>
        <w:t>，其中，FV表示本息和，P表示本金，R表示利率，N表示计息期数，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故该投资者的本息和=10 000×(1+8％÷2)^2=10 816(元)。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（按复利每半年计算一次利息，所以年利率要÷2。）</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10.名义利率和实际利率是按照（  ）来划分的。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A.利率的决定方式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B.利率的真实水平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C.借贷主体的不同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D.计算利率的期限单位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A错误：按利率决定方式的不同，利率可分为固定利率与浮动利率。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B正确：按利率的真实水平划分，利率可分为名义利率与实际利率。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C错误：干扰选项，教材不涉及。</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D错误：按计算利率期限单位的不同，利率可分为年利率、月利率、日利率。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11.假设张某在银行存款，三年后欲收到300元本息，年利率为8％，如果按一季度计息一次，则其现在要在银行存入（  ）元。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A.236.55</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B.235.98</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C.217.20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D.241.96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drawing>
          <wp:inline distT="0" distB="0" distL="114300" distR="114300">
            <wp:extent cx="1181100" cy="59055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1181100" cy="59055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drawing>
          <wp:inline distT="0" distB="0" distL="114300" distR="114300">
            <wp:extent cx="1752600" cy="561975"/>
            <wp:effectExtent l="0" t="0" r="0" b="952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1752600" cy="56197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式中，An表示第n年末的现金流量，n表示时间，m为年计息次数，r为贴现率(年利率)。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1.某个时期物价下降，若发生下列情况中的（  ）时，则可判定该时期出现了通货紧缩。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A.个别商品或劳务价格的下降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B.物价的持续下降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C.物价一次性的大幅下降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D.通货膨胀率由正转负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E.季节性因素引起的部分商品价格下降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判断某个时期的物价下降是否是通货紧缩，一看通货膨胀率是否由正变负；二看这种下降是否持续了一定的时期。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A选项错在不是个别商品或劳务的价格下降；C选项错在不是一次性的、暂时性的下降；E选项错在季节性因素引起的价格下降是暂时的。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2.按利率决定方式的不同，利率可分为（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A.固定利率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B.浮动利率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C.年利率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D.月利率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E.实际利率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按利率决定方式的不同，利率可分为固定利率与浮动利率。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按计算利率期限单位的不同，利率可分为年利率、月利率和日利率。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按利率真实水平的不同，利率可分为实际利率与名义利率。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3.货币时间价值的影响因素主要包括（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B.通货膨胀率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D.投资机会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E.收益</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货币时间价值的影响因素主要包括以下内容：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②通货膨胀率；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④投资机会。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综上，该题选ABCD。</w:t>
      </w:r>
    </w:p>
    <w:p w14:paraId="6BA255B3">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p>
    <w:p w14:paraId="2F4D803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4.利率是借款人在单位时间内应支付的利息与借贷资金的比率。按不同的划分方法，利率可以分为不同种类，以下（  ）是按利率的真实水平划分的。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A.固定利率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B.浮动利率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C.名义利率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D.实际利率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E.年利率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AB错误：按利率的决定方式可划分为固定利率与浮动利率。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CD正确：按利率的真实水平可划分为名义利率与实际利率。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E错误：按计算利率期限单位的不同，利率可分为年利率、月利率、日利率。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5.终值的大小不仅取决于现值的大小，还取决于（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A.借款期限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B.利率的高低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C.计息方式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D.借款人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E.贷款人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终值又称将来值或本息和，是指现在一定量的资金在未来某一时点上的价值。终值的大小不仅取决于现值的大小，而且与利率的高低、借款期限和计息方式有关。</w:t>
      </w:r>
    </w:p>
    <w:p w14:paraId="0C05F1C0">
      <w:pPr>
        <w:rPr>
          <w:rFonts w:hint="eastAsia" w:ascii="宋体" w:hAnsi="宋体" w:eastAsia="宋体" w:cs="宋体"/>
          <w:sz w:val="21"/>
          <w:szCs w:val="21"/>
        </w:rPr>
      </w:pPr>
    </w:p>
    <w:p w14:paraId="040B0D42">
      <w:pPr>
        <w:rPr>
          <w:rFonts w:hint="eastAsia" w:ascii="宋体" w:hAnsi="宋体" w:eastAsia="宋体" w:cs="宋体"/>
          <w:sz w:val="21"/>
          <w:szCs w:val="21"/>
        </w:rPr>
      </w:pPr>
    </w:p>
    <w:p w14:paraId="2447ED21">
      <w:pPr>
        <w:rPr>
          <w:rFonts w:hint="eastAsia" w:ascii="宋体" w:hAnsi="宋体" w:eastAsia="宋体" w:cs="宋体"/>
          <w:sz w:val="21"/>
          <w:szCs w:val="21"/>
        </w:rPr>
      </w:pPr>
    </w:p>
    <w:p w14:paraId="1D4D5490">
      <w:pPr>
        <w:rPr>
          <w:rFonts w:hint="eastAsia" w:ascii="宋体" w:hAnsi="宋体" w:eastAsia="宋体" w:cs="宋体"/>
          <w:sz w:val="21"/>
          <w:szCs w:val="21"/>
        </w:rPr>
      </w:pPr>
      <w:r>
        <w:rPr>
          <w:rFonts w:hint="eastAsia" w:ascii="宋体" w:hAnsi="宋体" w:eastAsia="宋体" w:cs="宋体"/>
          <w:sz w:val="21"/>
          <w:szCs w:val="21"/>
        </w:rPr>
        <w:br w:type="page"/>
      </w:r>
    </w:p>
    <w:p w14:paraId="64C3E75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利率决定理论与利率结构</w:t>
      </w:r>
    </w:p>
    <w:p w14:paraId="52A41F9D">
      <w:pPr>
        <w:rPr>
          <w:rFonts w:hint="eastAsia" w:ascii="宋体" w:hAnsi="宋体" w:eastAsia="宋体" w:cs="宋体"/>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1.以下哪种理论，假定不同到期期限的债券根本无法相互替代</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A.预期理论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B.分割市场理论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C.流动性溢价理论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D.古典利率理论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分割市场理论的假设条件：不同到期期限的债券根本无法相互替代，因此，持有某一到期期限的债券的预期回报率对于其他到期期限的债券的需求不产生任何影响。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2.流动性溢价理论和期限优先理论解释了，如果</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，收益率曲线很可能陡峭地向上倾斜。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A.短期利率较低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B.短期利率较高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C.长期利率较低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D.长期利率与短期利率相等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流动性溢价理论和期限优先理论解释了下列事实：</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（1）随着时间的推移，不同到期期限的债券利率表现出同向运动的趋势。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（2）典型的收益率曲线总是向上倾斜。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（3）如果短期利率较低，收益率曲线很可能陡峭地向上倾斜；如果短期利率较高，收益率曲线倾向于向下倾斜。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3.根据利率的风险结构理论，各种债券的流动性之所以不同，是因为在价格一定的情况下，它们的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不同。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A.实际利率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B.变现所需的时间或成本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C.名义利率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D.交易方式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各种债券由于交易费用、偿还期限、是否可转换等方面的差异，变现所需的时间或成本不同，流动性也就不同。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4.认为货币供给是外生变量,由中央银行直接控制,货币供给独立于利率的变动,该观点源自于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A.货币数量论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B.古典利率理论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C.可贷资金理论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D.流动性偏好理论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流动性偏好理论，凯恩斯认为货币供给是外生变量，其变化由中央银行直接控制。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5.一般来说，流动性差的债券的特点是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A.风险相对较大、利率相对较高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B.风险相对较大、利率相对较低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C.风险相对较小、利率相对较高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D.风险相对较小、利率相对较低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一般来说，国债的流动性强于公司债券；期限较长的债券，流动性差，流动性差的债券，风险相对较大，利率定得就高一些；债券流动性越强，其利率越低。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6.假定预期当年1年期债券的年利率为9％，预期下一年1年期债券的年利率为11％，根据预期理论，则当前2年期债券的年利率是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A.9％</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D.20％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预期理论认为，长期债券的利率等于长期利率到期之前人们所预期的短期利率的平均值，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故：2年期债券的年利率=(9％+11％)／2=10％。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7.下列说法错误的是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A.古典利率理论属于“纯实物分析”的框架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B.古典学派认为，利率决定于储蓄与投资的相互作用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C.古典学派认为，储蓄是利率的递增函数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D.古典学派认为，投资是利率的递增函数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A正确：古典利率理论属于“纯实物分析”的框架。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B正确：古典学派认为，利率决定于储蓄与投资的相互作用。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C正确、D错误：储蓄是利率的递增函数，投资是利率的递减函数。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8.在以下利率期限结构理论中，无法解释收益率曲线向上倾斜事实的是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A.预期理论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B.市场分割理论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C.流动性溢价理论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D.期限优先理论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预期理论的缺陷在于无法解释一个事实，即收益率曲线通常是向上倾斜的。根据预期理论，典型的收益率曲线应当是平坦的，而非向上倾斜的。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9.在利率决定理论中，强调投资与储蓄相互作用的是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A.马克思利率理论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B.流动性偏好理论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C.可贷资金理论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D.古典利率理论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古典学派认为，利率决定于储蓄与投资的相互作用。古典利率理论的隐含假定是，当实体经济部门的储蓄等于投资时，整个国民经济达到均衡状态。因此，该理论属于“纯实物分析”的框架。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10.关于可贷资金理论的说法错误的是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A.是新古典学派的利率理论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B.是为修正凯恩斯的“流动性偏好”理论而提出的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C.认为利率的决定取决于商品市场和货币市场的共同均衡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D.借贷资金的需求来自同一期间的储蓄流量和该期间货币供给量的变动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AB正确：可贷资金理论是新古典学派的利率理论，是为修正凯恩斯的“流动性偏好”理论而提出的，实际上可看成古典利率理论和流动性偏好理论的综合。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可贷资金理论综合了前两种利率决定理论，认为利率由可贷资金市场的供求决定，利率的决定取决于商品市场和货币市场的共同均衡。任何使可贷资金的供给曲线或需求曲线移动的因素都将改变均衡利率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按照可贷资金理论，在一个封闭经济体中借贷资金的需求与供给均包括两个方面：借贷资金的需求来自某期间投资流量和该期间人们希望保有的货币量，借贷资金的供给来自同一期间的储蓄流量和该期间货币供给量的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11.在凯恩斯的“流动性陷阱”区间</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A.货币政策完全有效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B.财政政策完全无效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C.财政政策部分有效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D.货币政策完全无效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在凯恩斯的“流动性陷阱”区间，货币政策是完全无效的，只能依靠财政政策。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12.以下关于利率的风险结构的描述，正确的是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A.违约风险越高，利率越低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B.流动性较差，利率较低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C.免税的债券利率较低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D.免税的债券利率较高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一般来说，债券违约风险越大，其利率越高；流动性差的债券，风险相对较大，利率较高；在同等条件下，具有免税特征的债券利率较低。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13.古典利率理论认为经济处于均衡时，</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A.S&gt;I</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B.S&lt;I</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C.S=I</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D.S≥I</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古典利率理论认为经济处于均衡时S=I。</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14.流动性偏好理论认为，“流动性陷阱”发生后，货币需求曲线是一条</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的直线。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A.平行于横坐标轴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B.垂直于横坐标轴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C.向左上方倾斜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D.向右上方倾斜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在“流动性陷阱”区间，货币政策是完全无效的。“流动性陷阱”发生后，货币需求曲线的形状是一条平行于横坐标轴的直线。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1.根据利率风险结构理论，导致债券到期期限相同但利率却不同的因素有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A.违约风险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B.债券的流动性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C.所得税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D.交易风险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E.系统性风险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债券的到期期限相同但利率却不相同的现象称为利率的风险结构。到期期限相同的债券利率不同由三个原因引起，即违约风险、债券的流动性和所得税。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.影响债券利率风险结构的因素有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A.违约风险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B.汇率水平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C.债券的流动性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D.所得税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E.操作风险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债券的到期期限相同但利率却不相同的现象称为利率的风险结构。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到期期限相同的债券利率不同由三个原因引起，即违约风险、债券的流动性和所得税。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.目前，解释利率期限结构的理论主要有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A.预期理论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B.分割市场理论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C.流动性溢价理论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D.古典利率理论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E.可贷资金理论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ABC正确：目前，主要有三种理论解释利率的期限结构，即预期理论、分割市场理论和流动性溢价理论。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DE错误：古典利率理论和可贷资金理论属于利率决定理论。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.影响债券流动性的因素有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A.交易费用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B.偿还期限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C.是否可以转换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D.信用风险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影响债券利率的一个重要因素是债券的流动性。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各种债券由于交易费用、偿还期限、是否可转换等方面的差异，变现所需要的时间或成本不同，流动性也就不同。一般来说，国债的流动性强于公司债券；期限较长的债券，流动性差，流动性差的债券，风险相对较大，利率定得就高一些；债券流动性越强，其利率越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.按照融资方式的不同，金融市场可以划分为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A.公开市场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B.议价市场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C.直接融资市场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D.间接融资市场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E.交易所市场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AB错误：按照成交与定价方式的不同，金融市场可分为公开市场和议价市场。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CD正确：按照融资方式的不同，金融市场可以划分为直接融资市场和间接融资市场。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E错误：按照组织方式不同，金融市场可分为交易所市场和场外交易市场。</w:t>
      </w:r>
    </w:p>
    <w:p w14:paraId="7CFBE0B8">
      <w:pPr>
        <w:rPr>
          <w:rFonts w:hint="eastAsia" w:ascii="宋体" w:hAnsi="宋体" w:eastAsia="宋体" w:cs="宋体"/>
          <w:sz w:val="21"/>
          <w:szCs w:val="21"/>
        </w:rPr>
      </w:pPr>
      <w:r>
        <w:rPr>
          <w:rFonts w:hint="eastAsia" w:ascii="宋体" w:hAnsi="宋体" w:eastAsia="宋体" w:cs="宋体"/>
          <w:sz w:val="21"/>
          <w:szCs w:val="21"/>
        </w:rPr>
        <w:br w:type="page"/>
      </w:r>
    </w:p>
    <w:p w14:paraId="37C0D959">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国际货币体系与汇率制度</w:t>
      </w:r>
    </w:p>
    <w:p w14:paraId="38DBF13F">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1.下列称为本币汇率的是（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A.外汇汇率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B.直接标价法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C.应付标价法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D.间接标价法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ABC错误：直接标价法又称应付标价法，是以一定整数单位（1、100、10000等）的外国货币为标准，折算为若干单位的本国货币，这种标价法是以本国货币表示外国货币的价格，因此可以称为外汇汇率。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D正确：间接标价法是以外国货币表示本国货币的价格，所以可以称为本币汇率。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2.在金本位制度下，汇率的标准是（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A.购买力平价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B.黄金输送点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C.铸币平价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D.利率平价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本位制下汇率的决定基础。在金本位制下，各国以金币作为本位货币，黄金是价值的“天然实体”，单位金币都有含金量，黄金可以自由输出和输入。这种货币制度下汇率的决定基础，从本质上是各国单位货币所具有的价值量，从现象上看是各国单位货币的含金量。汇率的标准是铸币平价，即两国单位货币的含金量之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3.布雷顿森林体系建立的永久性国际金融机构是（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A.世界银行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B.国际清算银行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C.国际货币基金组织（IMF）</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D.亚洲开发银行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世界银行：世界银行（国际复兴开发银行）是布雷顿森林体系相关机构，但它主要侧重于为成员国提供长期发展贷款等，并非题干所问的“为货币事项国际磋商、促进国际货币合作”等核心职能的永久性国际金融机构，且从体系构建逻辑看，国际货币基金组织是更直接对应布雷顿森林体系货币协调等核心目标的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国际清算银行：国际清算银行成立于1930年，早于布雷顿森林体系（1944年建立），并非布雷顿森林体系建立的机构。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国际货币基金组织（IMF）：布雷顿森林体系明确建立了国际货币基金组织这一永久性国际金融机构，它对货币事项进行国际磋商，促进国际货币合作，为国际政策协调提供场所，监督成员国汇率政策、提供短期资金融通，在维持布雷顿森林体系运行中起到关键作用，符合题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亚洲开发银行：亚洲开发银行成立于1966年，是致力于促进亚洲及太平洋地区发展的区域金融机构，与布雷顿森林体系建立无关。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4.关于金本位制的说法，错误的是（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A.汇率单纯由货币的含金量决定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B.货币供应量取决于黄金供应量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C.汇率制度是自发的固定汇率制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D.国际收支失衡存在自动调节机制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A错误：金本位制下，市场汇率受供求关系变动的影响而围绕铸币平价上下波动，波动幅度为黄金输送点内。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B正确：黄金是主要的国际储备资产黄金充当国际货币，使得货币的对内价值——物价水平，以及对外价值-汇率都能够保持相对稳定，金本位制是一种较为稳定的货币制度。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汇率制度是固定汇率制度，避免了由汇率剧烈波动引起的风险。当采用汇票的非现金结算方式对其中一方不利时，则会采用直接支付或收取黄金的方式来进行结汇，因此各国货币之间的汇率波动范围很小，从而就形成了自发的固定汇率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D正确：国际收支不均衡的调节，存在"物价——现金流动机制"的自动调节机制。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5.布雷顿森林体系所实行的汇率制度属于（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A.以美元为中心的、可调整的固定汇率制度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B.以美元为中心的、不可调整的固定汇率制度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C.以欧元为中心的、可调整的固定汇率制度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D.以欧元为中心的、不可调整的固定汇率制度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布雷顿森林体系的特征是：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①由于美元与黄金挂钩美元取得了等同于黄金的地位，成为最主要的国际储备货币。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②实行以美元为中心的、可调整的固定汇率制度。但是，美国以外的国家需要承担本国货币与美元汇率保持稳定的义务。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③国际货币基金组织作为一个新兴机构成为国际货币体系的核心。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6.国际货币体系的制度安排不涉及（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A.各国货币的兑换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B.汇率制度的确定与变化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C.国内财政政策的制定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D.国际储备资产管理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国际货币体系是针对各国货币的兑换、汇率制度的确定与变化、国际收支调节方式、国际储备资产管理等基本问题进行的制度安排。</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C项，国内财政政策的制定不在国际货币体系的制度安排范围内。</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7.国际金本位制所实行的汇率制度属于（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A.人为的可调整的固定汇率制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B.人为的不可调整的固定汇率制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C.自发的固定汇率制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D.固定汇率制和浮动汇率制并存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国际金本位制下的汇率制度是自发的固定汇率制度。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8.美元等同于黄金，实行可调整的固定汇率制度，是（  ）的特征。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A.布雷顿森林体系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B.国际金本位制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C.牙买加体系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D.国际金块——金汇兑本位制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3EF6B3D2">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布雷顿森林体系的特征是：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①由于美元与黄金挂钩，美元取得了等同于黄金的地位，成为最核心的国际储备货币；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②实行以美元为中心的、可调整的固定汇率制度。但是，美国以外的国家需要承担本国货币与美元汇率保持稳定的义务；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③国际货币基金组织作为一个新兴机构成为国际货币体系的核心。</w:t>
      </w:r>
    </w:p>
    <w:p w14:paraId="519E8BF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9.以下因素中容易导致一国倾向采取固定汇率制度的因素是（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A.经济开放程度高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B.进出口商品地域分布多样化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C.同国际金融市场联系密切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D.经济规模小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汇率制度选择的“经济论”认为，一国汇率制度的选择主要受经济因素决定。这些经济因素有：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①经济开放程度；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②经济规模；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③进出口贸易的商品结构和地域分布；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④国内金融市场的发达程度及其与国际金融市场的一体化程度；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⑤相对的通货膨胀率。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一般来说，经济开放程度低，经济规模小，或者进出口集中在某几种商品或某一国家的国家，一般倾向于实行固定汇率制或钉住汇率制。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1.汇率制度选择的“经济论”认为，一国汇率制度的选择取决于（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A.经济开放程度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B.对外经济、政治、军事等诸方面联系的特征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C.相对的通货膨胀率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D.国内金融市场的发达程度及其与国际金融市场的一体化程度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E.进出口贸易的商品结构和地域分布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汇率制度选择的“经济论”认为，一国汇率制度的选择取决于：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A正确：(1)经济开放程度；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(2)经济规模；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E正确：(3)进出口贸易的商品结构和地域分布；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D正确：(4)国内金融市场的发达程度及其与国际金融市场的一体化程度；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C正确：(5)相对的通货膨胀率。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B错误：汇率制度选择的"依附论"认为，国家汇率制度的选择主要取决于其对外经济、政治、军事等方面的特征。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2.在国际货币体系中，现行牙买加体系的内容有（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A.国际间资本的自由流动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B.浮动汇率制合法化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C.黄金非货币化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D.扩大特别提款权的作用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E.扩大对发展中国家的融资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“牙买加协议”规定：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B正确：(1)浮动汇率合法化；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C正确：(2)黄金非货币化；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D正确：(3)扩大特别提款权的作用；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E正确：(4)扩大发展中国家的资金融通且增加会员国的基金份额。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3.牙买加体系的主要运行特征包括（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A.黄金非货币化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B.建立稳定汇率机制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C.国际储备货币多元化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D.汇率制度安排多元化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E.国际收支调节机制多样化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牙买加体系的主要运行特征：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C正确：(1)国际储备货币多元化；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D正确：(2)汇率制度安排多元化；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A正确：(3)黄金非货币化；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E正确：(4)国际收支调节机制多样化。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4.国际货币体系的核心内容包括（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A.汇率制度的确定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B.规定国际收支的调节方式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C.国际储备资产的确定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D.国际金本位制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E.布雷顿森林体系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国际货币体系的核心内容：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1.汇率制度的确定；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2.规定国际收支的调节方式；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3.国际储备资产的确定。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5.根据汇率形成的机制，可以将汇率划分为（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A.开盘汇率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B.固定汇率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C.官方汇率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D.市场汇率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E.双边汇率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根据汇率形成的机制，可以将汇率划分为官方汇率和市场汇率。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按商业银行报出汇率的时间，可以将汇率分为开盘汇率和收盘汇率；按汇率制度的性质，可以将汇率分为固定汇率和浮动汇率。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6.根据商业银行对外汇的买卖，可以将汇率划分为（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A.信汇汇率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B.市场汇率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C.收盘汇率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D.买入汇率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E.卖出汇率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根据商业银行对外汇的买卖，可以将汇率划分为买入汇率与卖出汇率。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按外汇交易的支付通知方式，可以将汇率划分为电汇汇率、信汇汇率和票汇汇率；按汇率形成的机制，可以将汇率划分为官方汇率和市场汇率；按商业银行报出汇率的时间，可以分为开盘汇率和收盘汇率。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7.根据商业银行报出汇率的时间，可以将汇率划分为（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A.双边汇率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B.开盘汇率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C.有效汇率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D.收盘汇率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E.实际有效汇率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根据商业银行报出汇率的时间，可以将汇率划分为开盘汇率与收盘汇率。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8.根据外汇交易的支付通知方式，可以将汇率划分为（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A.基本汇率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B.套算汇率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C.电汇汇率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D.信汇汇率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E.票汇汇率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根据外汇交易的支付通知方式，可以将汇率划分为电汇汇率、信汇汇率与票汇汇率。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A和B是按汇率的制定方式区分的。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9.根据汇率制度的性质，可以将汇率划分为（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A.固定汇率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B.浮动汇率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C.电汇汇率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D.信汇汇率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E.票汇汇率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根据汇率制度的性质，可以将汇率划分为固定汇率与浮动汇率。</w:t>
      </w:r>
    </w:p>
    <w:p w14:paraId="78C95826">
      <w:pPr>
        <w:rPr>
          <w:rFonts w:hint="eastAsia" w:ascii="宋体" w:hAnsi="宋体" w:eastAsia="宋体" w:cs="宋体"/>
          <w:sz w:val="21"/>
          <w:szCs w:val="21"/>
        </w:rPr>
      </w:pPr>
    </w:p>
    <w:p w14:paraId="0FD6C648">
      <w:pPr>
        <w:rPr>
          <w:rFonts w:hint="eastAsia" w:ascii="宋体" w:hAnsi="宋体" w:eastAsia="宋体" w:cs="宋体"/>
          <w:sz w:val="21"/>
          <w:szCs w:val="21"/>
        </w:rPr>
      </w:pPr>
    </w:p>
    <w:p w14:paraId="1C4B4917">
      <w:pPr>
        <w:rPr>
          <w:rFonts w:hint="eastAsia" w:ascii="宋体" w:hAnsi="宋体" w:eastAsia="宋体" w:cs="宋体"/>
          <w:sz w:val="21"/>
          <w:szCs w:val="21"/>
        </w:rPr>
      </w:pPr>
      <w:r>
        <w:rPr>
          <w:rFonts w:hint="eastAsia" w:ascii="宋体" w:hAnsi="宋体" w:eastAsia="宋体" w:cs="宋体"/>
          <w:sz w:val="21"/>
          <w:szCs w:val="21"/>
        </w:rPr>
        <w:br w:type="page"/>
      </w:r>
    </w:p>
    <w:p w14:paraId="1CFD292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汇率决定理论与汇率变动</w:t>
      </w:r>
    </w:p>
    <w:p w14:paraId="13244F4E">
      <w:pPr>
        <w:rPr>
          <w:rFonts w:hint="eastAsia" w:ascii="宋体" w:hAnsi="宋体" w:eastAsia="宋体" w:cs="宋体"/>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1.在汇率制度中，管理浮动的本质特征是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A.各国维持本币对美元的法定平价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B.官方或明或暗地干预外汇市场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C.汇率变动受黄金输送点约束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D.若干国家的货币彼此建立固定联系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管理浮动是官方或明或暗地干预外汇市场，使市场汇率在经过操纵的外汇供求关系作用下相对平稳波动的汇率制度。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2.如果一国的物价水平与其他国家的物价水平相比相对上涨，则该国货币对其他国家货币</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A.升值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B.贬值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C.升水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D.贴水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购买力平价理论，反映货币购买力的物价水平变动是决定汇率长期变动的根本因素。如果一国的物价水平与其他国家的物价水平相比相对上涨，即该国相对通货膨胀，则该国货币对其他国家货币贬值。贬值是指在外汇市场上，受供求关系影响，一定量的一国货币只能兑换到比以前更少的外汇，相应的是外汇汇率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3.当国际收支出现逆差时，一国之所以采用本币贬值的汇率政策，是因为本币贬值以后，以外币标价的出口价格下降，而以本币标价的进口价格上涨，从而</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，使国际收支逆差减少乃至恢复均衡。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A.刺激出口和进口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B.限制出口和进口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C.刺激出口，限制进口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D.限制出口，刺激进口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汇率变动产生的直接经济影响体现在：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汇率变动影响国际收支。首先，汇率变动会直接影响经常项目收支。当本币贬值以后，以外币计价的本国出口商品与劳务的价格下降，而以本币计价的本国进口商品与劳务的价格上涨，从而刺激出口，限制进口，增加经常项目收入，减少经常项目支出。反之，当本币升值时，则影响正好相反，最终会减少经常项目收入，增加经常项目支出。其次，汇率变动会直接影响资本与金融项目收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②汇率变动影响外汇储备。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4.根据购买力平价理论，通货紧缩的国家货币</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A.升水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B.贬值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C.升值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D.贴水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购买力平价理论，反映货币购买力的物价水平变动是决定汇率长期变动的根本因素。如果一国的物价水平与其他国家的物价水平相比相对上涨，即该国相对通货膨胀，则该国货币对其他国家货币贬值；反之，如果一国的物价水平与其他国家的物价水平相比相对下跌，即该国相对通货紧缩，则该国货币对其他国家货币升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.下列汇率制度中属于软钉住的有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A.无独立法定货币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B.货币局制度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C.传统钉住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D.稳定化安排</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E.水平区间钉住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目前，IMF最新的汇率制度包括：①无独立法定货币；②货币局制度；③传统钉住；④稳定化安排；⑤水平区间钉住；⑥爬行钉住；⑦类爬行钉住；⑧管理浮动；⑨自由浮动；⑩其他有管理的安排。</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其中，①-②属于硬钉住，③-⑦属于软钉住，⑧-⑨属于浮动汇率制度，⑩属于其他。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.根据衡量货币价值的需要，汇率可以分为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A.名义汇率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B.实际汇率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C.基本汇率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D.有效汇率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E.套算汇率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ABD正确：根据衡量货币价值的需要，汇率可以分为名义汇率、实际汇率和有效汇率。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CE错误：根据汇率的制定方法，汇率可以分为基本汇率与套算汇率。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.汇率变动的间接经济影响主要体现在</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A.经济增长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B.产业竞争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C.产业结构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D.国际收支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ABC正确：汇率变动的间接经济影响主要通过国际收支传导，体现在以下两个方面：（1）汇率变动影响经济增长；（2）汇率变动影响产业竞争和产业结构。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DE错误：汇率变动的直接经济影响体现在：（1）汇率变动影响国际收支；（2）汇率变动影响外汇储备。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.利率平价理论包括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A.绝对购买力平价理论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B.相对购买力平价理论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C.非抵补利率平价理论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D.抵补利率平价理论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E.汇兑心理说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利率平价理论分为抵补利率平价理论和非抵补利率平价理论。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A和B属于购买力平价理论，D选项汇兑心理说是一种基于边际效用理论的汇率决定理论。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.从理论上看，本币升值可能产生的影响包括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A.减少经常项目收入，增加经常项目支出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B.减少借贷资本流入，增加借贷资本流出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C.降低国外直接投资的本币利润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D.降低外国在本国证券投资的外币利润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E.推动进口替代部门经济增长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A正确：首先，汇率变动会直接影响经常项目收支。当本币升值时，会减少经常项目收入，增加经常项目支出。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D错误、C正确：其次，汇率变动会直接影响资本与金融项目收支。如果本币贬值，会加重偿还外债的本币负担，减轻外国债务人偿还本币债务的负担，从而减少借贷资本流入，增加借贷资本流出；会提高国外直接投资和证券投资的本币利润，降低外国在本国直接投资和证券投资的外国货币利润，从而刺激直接投资和证券投资项下的资本流出，限制直接投资和证券投资项下的资本流入。反之，如果本币升值，则其影响正好相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E错误：属于本币贬值的描述。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.汇率变动的直接经济影响体现在</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A.影响经济增长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B.影响产业竞争力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C.影响产业结构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D.影响国际收支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E.影响外汇储备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汇率变动的直接经济影响体现在以下两个方面：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1.汇率变动影响国际收支；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2.汇率变动影响外汇储备。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ABC属于汇率变动的间接经济影响。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7</w:t>
      </w:r>
      <w:r>
        <w:rPr>
          <w:rFonts w:hint="eastAsia" w:ascii="宋体" w:hAnsi="宋体" w:eastAsia="宋体" w:cs="宋体"/>
          <w:i w:val="0"/>
          <w:iCs w:val="0"/>
          <w:caps w:val="0"/>
          <w:color w:val="000000"/>
          <w:spacing w:val="0"/>
          <w:sz w:val="21"/>
          <w:szCs w:val="21"/>
        </w:rPr>
        <w:t>.下列属于抵补利率平价理论假设的是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A.不存在交易成本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B.资本在国际可以自由流动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C.套利资本规模是无限的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D.市场参与者风险中性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E.理性人假设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抵补利率平价理论由凯恩斯在1923年系统提出。该理论假设不存在交易成本、资本在国际可以自由流动、套利资本规模是无限的。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8</w:t>
      </w:r>
      <w:r>
        <w:rPr>
          <w:rFonts w:hint="eastAsia" w:ascii="宋体" w:hAnsi="宋体" w:eastAsia="宋体" w:cs="宋体"/>
          <w:i w:val="0"/>
          <w:iCs w:val="0"/>
          <w:caps w:val="0"/>
          <w:color w:val="000000"/>
          <w:spacing w:val="0"/>
          <w:sz w:val="21"/>
          <w:szCs w:val="21"/>
        </w:rPr>
        <w:t>.汇率变动的决定因素包括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A.物价的相对变动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B.国际收支差额的变化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C.国际储备余额的变化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D.市场预期的变化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E.政府干预汇率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汇率变动的决定因素有物价的相对变动、国际收支差额的变化、市场预期的变化、政府干预汇率。</w:t>
      </w:r>
    </w:p>
    <w:p w14:paraId="1A83417E">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CF56C7"/>
    <w:rsid w:val="3C656583"/>
    <w:rsid w:val="7AD13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11144</Words>
  <Characters>12127</Characters>
  <Lines>0</Lines>
  <Paragraphs>0</Paragraphs>
  <TotalTime>4</TotalTime>
  <ScaleCrop>false</ScaleCrop>
  <LinksUpToDate>false</LinksUpToDate>
  <CharactersWithSpaces>12228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2025-08-13T10:20:00Z</dcterms:created>
  <dc:creator>go41</dc:creator>
  <cp:lastModifiedBy>玉生烟罗</cp:lastModifiedBy>
  <dcterms:modified xsi:type="dcterms:W3CDTF">2025-08-13T12:13:53Z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CD578785C9D6495EA1E8F75B7D02183D_12</vt:lpwstr>
  </property>
</Properties>
</file>