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F9063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金融风险</w:t>
      </w:r>
    </w:p>
    <w:p w14:paraId="2486517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1.金融参与者由于资产流动性降低而导致的风险是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A.市场风险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B.流动性风险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C.信用风险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D.操作风险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本题考查金融风险。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选项B正确；金融参与者由于资产流动性降低而导致的风险属于流动性风险。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选项A错误；由于市场因素(如利率、汇率,股价以及商品价格等)的波动而导致的金融参与者的资产价值变化的市场风险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选项C错误；由于借款人或市场交易对手的违约(无法偿付或者无法按期偿付)而导致损失的信用风险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选项D错误；由于金融机构的交易系统不完善、管理失误或其他一些人为错误而导致的操作风险。</w:t>
      </w:r>
    </w:p>
    <w:p w14:paraId="188F8053">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2.由于利率的波动而导致的金融参与者的资产价值变化的风险是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A.操作风险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B.市场风险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C.信用风险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D.政治风险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本题考查金融风险。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选项B正确；由于市场因素(如利率、汇率、股价以及商品价格等)的波动而导致的金融参与者的资产价值变化的市场风险。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选项A错误；由于金融机构的交易系统不完善、管理失误或其他一些人为错误而导致的操作风险。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选项C错误；由于借款人或市场交易对手的违约（无法偿付或者无法按期偿付)而导致损失的信用风险。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p>
    <w:p w14:paraId="4F3A144F">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6B2F3DA7">
      <w:pPr>
        <w:keepNext w:val="0"/>
        <w:keepLines w:val="0"/>
        <w:widowControl/>
        <w:suppressLineNumbers w:val="0"/>
        <w:jc w:val="left"/>
        <w:rPr>
          <w:rFonts w:hint="eastAsia" w:asciiTheme="minorEastAsia" w:hAnsiTheme="minorEastAsia" w:eastAsiaTheme="minorEastAsia" w:cstheme="minorEastAsia"/>
          <w:sz w:val="21"/>
          <w:szCs w:val="21"/>
        </w:rPr>
      </w:pPr>
    </w:p>
    <w:p w14:paraId="1FD8E322">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974653B">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金融危机</w:t>
      </w:r>
    </w:p>
    <w:p w14:paraId="0DC3817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1.从国际债务危机、欧洲货币危机和亚洲金融危机中可以看出，发生危机国家的汇率政策的共同特点是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A.实行浮动汇率制度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B.实行有管理浮动汇率制度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C.实行钉住汇率制度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D.实行货币局确定汇率制度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此题考查金融危机的类型。发生危机国家的汇率政策的共同特点是实行钉住汇率制度。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指的是因次级抵押贷款机构破产、投资基金被迫关闭、股市剧烈震荡引起的金融风暴。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A.债务危机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B.货币危机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C.信用危机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D.次贷危机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此题考查次贷危机的概念。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选项D正确；次贷危机是指一场发生在美国，因次级抵押贷款机构破产、投资基金被迫关闭，股市剧烈震荡引起的金融风暴。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选项A错误；债务危机也可称为支付能力危机,即一国的债务不合理,无法按期偿还,最终引发的危机。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选项B错误；货币危机。在实行固定汇率制或带有固定汇率制色彩的钉住汇率安排的国家,由于国内经济变化没有相应的汇率调整配合,导致其货币内外价值脱节,通常反映为本币汇率高估。</w:t>
      </w:r>
    </w:p>
    <w:p w14:paraId="7DB3AC28">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选项C错误；次贷危机中的;第三阶段即信用危机,投资者对建立在信用基础上的金融活动产生怀疑，引发全球范围内的金融恐慌。</w:t>
      </w:r>
    </w:p>
    <w:p w14:paraId="186D548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3.如果金融机构资产负债不匹配，即“借短放长”会导致的危机属于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A.债务危机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B.货币危机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C.流动性危机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D.综合性危机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本题考查金融危机的类型。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选项A错误；债务危机也可称为支付能力危机,即一国的债务不合理,无法按期偿还,最终引发的危机。从历史上发生的债务危机看,它一般发生在发展中国家,不仅扰乱了国际金融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选项B错误；货币危机。在实行固定汇率制或带有固定汇率制色彩的钉住汇率安排的国家,由于国内经济变化没有相应的汇率调整配合,导致其货币内外价值脱节,通常反映为本币汇率高估。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选项C正确；流动性危机是由流动性不足引起的。如果金融机构资产负债不匹配，即“借短放长”，则会导致流动性不足以偿还短期债务，引发流动性危机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综合性金融危机通常是几种危机的结合。经济是一个有机的整体,局部出现问题必然会波及其他部分,因此金融危机的发生不局限于经济的某一方面,现实中的金融危机都是综合性金融危机。综合性金融危机分为外部综合性金融危机和内部综合性金融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.国际金融危机的类型十分复杂，具体可分为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A.货币危机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B.债务危机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C.流动性危机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D.管理危机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E.综合性金融危机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本题考查金融危机的类型。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选项ABCE正确；金融危机的类型有：债务危机、货币危机、流动性危机以及综合性金融危机。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p>
    <w:p w14:paraId="3025965B">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2FDD332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金融监管理论</w:t>
      </w:r>
    </w:p>
    <w:p w14:paraId="5E9EA80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1.监管是政府对公众要求纠正某些社会个体和社会组织的不公平、不公正和无效或低效率的一种回应。这种理论属于金融监管理论中的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A.金融风险控制论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B.信息不对称论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C.保护债权论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D.公共利益论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本题考查的是金融监管的一般性理论。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选项D正确；公共利益论认为监管是政府对公众要求纠正某些社会个体和社会组织的不公平、不公正和无效率或低效率的一种回应。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选项A错误；金融风险控制论。这一理论源于“金融不稳定假说”,认为银行的利润最大化目标促使其系统内增加有风险的活动,导致系统内的不稳定性。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选项C错误；保护债权论。这一理论的观点是,为了保护债权人的利益,需要金融监管。所谓债权人,就是存款人、证券持有人和投保人等。</w:t>
      </w:r>
    </w:p>
    <w:p w14:paraId="541E29AC">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576AA64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2.依照国家法律、行政法规的规定、金融监管对金融机构及其经营活动采取一系列行为，其中不包括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A.稽核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B.检查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C.内部审计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D.对违法违规行为进行处罚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此题考查金融监管的含义。金融监管是对金融机构及其经营活动实施外部监督、稽核、检查和对其违法违规行为进行处罚等一系列行为。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3.金融风险控制论中，认为银行的利润最大化目标促使其系统内增加有风险的活动，导致系统内的不稳定，</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不是导致不稳定性的来源。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A.高负债经营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B.信息的不对称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C.借短放长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D.部分准备金制度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此题考查金融监管的一般性理论中金融风险控制论的内容。这一理论源于“金融不稳定假说”，认为银行的利润最大化目标促使其系统内增加有风险的活动，导致系统的内在不稳定。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选项ACD属于导致原因：这种不稳定来源于：银行的高负债经营、借短放长和部分准备金制度。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选项B符合题意；不属于导致不稳定性的来源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4.随着金融业全球化的发展，世界各国的金融监管更加强调</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A.稳健与安全并重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B.安全与协调并重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C.盈利与效率并重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D.安全与效率并重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本题考查金融监管的一般性理论。20世纪70年代以来，金融全球化对传统金融监管理论提出了挑战，金融监管更强调安全与效率并重，同时对跨国金融活动的风险防范和国际监管协调更加重视。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5.认为银行的利润最大化目标促使其系统内增加有风险的活动，导致系统内的不稳定性，这一观点属于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A.信息不对称理论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B.保护债权理论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C.金融风险控制论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D.市场失灵理论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本题考查金融风险控制论。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选项C正确；金融风险控制论认为银行的利润最大化目标促使其系统内增加有风险的活动，导致系统内的不稳定性。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选项B错误；保护债权论。这一理论的观点是,为了保护债权人的利益,需要金融监管。所谓债权人,就是存款人、证券持有人和投保人等。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.金融监管的一般性理论有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A.公共利益论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B.保护债权论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C.市场失灵理论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D.信息不对称理论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E.金融风险控制论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选项ABE正确；金融监管的一般性理论包括公共利益论、保护债权论、金融风险控制论及金融全球化对传统金融监管理论的挑战。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.下列金融监管的说法错误的是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A.金融监管首先是从对银行进行监管开始的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B.银行在储蓄一投资转化过程中，实现了期限转换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C.银行作为票据的清算者，大大增加了交易费用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D.实施金融监管是为了稳定货币、维护金融业的正常秩序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E.金融监管对金融机构及其经营活动实施内部监督、稽核、检查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此题考查金融监管的含义和特性，比较综合。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银行是整个支付系统的重要组成部分，作为票据的清算者降低了交易费用，所以选项C错误。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金融机构及其经营活动实施外部监督、稽核、检查,所以选项E错误。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.金融风险控制论认为银行系统内的不稳定性来源于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A.银行的高负债经营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B.银行的借短放长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C.经济系统的复杂性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D.银行的自然垄断性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E.银行的部分准备金制度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本题考查金融监管理论。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正确；金融风险控制论源于“金融不稳定假说”，认为银行的利润最大化目标促使其系统内增加有风险的活动，导致系统内的不稳定性，这种不稳定性来源于银行的高负债经营、借短放长和部分准备金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选项CD错误；为干扰项</w:t>
      </w:r>
    </w:p>
    <w:p w14:paraId="5F17FBF2">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2D11F79">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金融监管体制</w:t>
      </w:r>
    </w:p>
    <w:p w14:paraId="22E228EB">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1.以下国家中实行独立于中央银行的综合监管体制的是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A.美国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B.印度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C.法国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D.德国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此题考查金融监管体制的分类。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选项ABC错误；以中央银行为重心的监管体制。这是以中央银行为重心,其他机构参与分工的监管体制。美国是其中的典型代表。属于这一类型的还有法国、印度、巴西等国家。</w:t>
      </w:r>
    </w:p>
    <w:p w14:paraId="6D8FB8E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选项D正确；德国是实行独立于中央银行的综合监管体制的典型代表。</w:t>
      </w:r>
    </w:p>
    <w:p w14:paraId="448D1B0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2.在我国目前的金融监管体制中，关于中国人民银行的说法，错误的是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A.作为最后贷款人在必要时救助高风险金融机构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B.共享监管信息，采取各种措施防范系统性金融风险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C.负有维护金融稳定的职能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D.由中国人民银行建立监管协调机制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本题考查我国金融监管体制的演变。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正确；D错误；2003年底修改的《中国人民银行法》明确规定中国人民银行及其分支机构负有维护金融稳定的职能,主要包括以下几个方面:一是作为最后贷款人在必要时救助高风险金融机构;二是共享监管信息,采取各种措施防范系统性金融风险;三是由国务院建立监管协调机制。该法还明确赋予中国人民银行在金融监督管理方面拥有监督检查权,包括直接检查监督权,建议检查权和在特定情况下的全面检查监督权。这种独立于中央银行的分业监管体制形成,使中央银行和监管当局腾出更多的时间和空间,以更细的分工专司其职,迅速提升货币政策和银行监管的专业化水平,从而加快了金融改革与发展的进程。</w:t>
      </w:r>
    </w:p>
    <w:p w14:paraId="72469BE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3.为加强金融监管协调、补齐监管短板,2017年全国金融工作会议决定,设立</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,强化人民银行宏观审慎管理和系统性风险防范职责,强化金融监管部门监管职责,确保金融安全与稳定发展。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A.发改委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B.国务院金融稳定发展委员会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C.金融委办公室地方协调机制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D.金融稳定发展领导小组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为加强金融监管协调、补齐监管短板,2017年全国金融工作会议决定,设立国务院金融稳定发展委员会(以下简称金融委),强化人民银行宏观审慎管理和系统性风险防范职责,强化金融监管部门监管职责,确保金融安全与稳定发展,同时,在地方层面设立金融委办公室地方协调机制和成立金融稳定发展领导小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4.对两个或两个以上不同类型金融机构拥有实质控制权，自身仅开展股权投资管理、不直接从事商业性经营活动的有限责任公司或者股份有限公司称为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A.非金融企业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B.影子银行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C.金融控股公司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D.地方金融组织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【解析】</w:t>
      </w:r>
    </w:p>
    <w:p w14:paraId="09124041">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选项C正确；金融控股公司是指对两个或两个以上不同类型金融机构拥有实质控制权，自身仅开展股权投资管理、不直接从事商业性经营活动的有限责任公司或者股份有限公司。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选项A错误；非金融企业指不属于从事金融行业的企业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选项B错误；影子银行是指常规银行体系以外的各种金融中介业务,通常以非银行金融机构为载体,对金融资产的信用、流动性和期限等风险因素进行转换,扮演着“类银行”的角色。</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地方金融组织是指依法设立的小额贷款公司,融资担保公司、区域性股权市场、典当行、融资租赁公司,商业保理公司、地方资产管理公司以及法律.行政法规和国务院授权省级人民政府监督管理的从事地方金融业务的其他机构。</w:t>
      </w:r>
    </w:p>
    <w:p w14:paraId="649849B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5.2018年3月21日，中共中央印发《深化党和国家机构改革方案》，决定组建中国银行保险监督管理委员会，它的主要职责有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A.依照法律法规统一监督管理银行业和保险业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B.保护金融消费者合法权益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C.维护银行业和保险业合法、稳健运行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D.防范和化解金融风险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E.拟定银行业、保险业重要法律法规草案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本题中国银行保险监督管理委员会主要职责。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中国银行保险监督管理委员会主要职责：依照法律法规统一监督管理银行业和保险业，保护金融消费者合法权益，维护银行业和保险业合法、稳健运行，防范和化解金融风险，维护金融稳定。将中国银行业监督管理委员会和中国保险监督管理委员会拟订银行业、保险业重要法律法规草案和审慎监管基本制度的职责划入中国人民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选项E错误；属于中国人民银行职责</w:t>
      </w:r>
    </w:p>
    <w:p w14:paraId="0FF817FB">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B670C05">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第五节 国际金融监管协调</w:t>
      </w:r>
    </w:p>
    <w:p w14:paraId="27CE08B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1.2003年新巴塞尔资本协议的资本要求已经发生了重大变化，其中主张有条件的大银行提供自己的风险评估水平，建立更精细的风险评估系统，这是对</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的阐述。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A.计量方法的改进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B.鼓励使用内部模型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C.资本约束范围的扩大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D.风险范畴的进一步拓展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本题考查2003年新巴塞尔资本协议。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选项B正确；2003年新巴塞尔资本协议鼓励使用内部模型：新协议主张有条件的大银行提供自己的风险评估水平，建立更精细的风险评估系统，并提出了一整套精致的基于内部信用评级的资本计算方法。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选项A错误；计量方法的改进。新协议根据银行业务错综复杂的现状,改进了一些计量风险和资本的方法,使其更具指导意义和可操作性。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选项C错误；资本约束范围的扩大。新协议对诸如组织形式、交易工具等的变动提出了相应的资本约束对策。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选项D错误；对风险范畴的进一步拓展。当前,信用风险仍然是银行经营中面临的主要风险,但是委员会也注意到市场风险和操作风险的影响和破坏力。</w:t>
      </w:r>
    </w:p>
    <w:p w14:paraId="2F1AA971">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2.关于巴塞尔协议Ⅲ的说法，正确的是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A.要求银行建立与信贷过快增长挂钩的反周期超额资本，最低要求为1～2．5％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B.要求银行建立留存超额资本，由普通股构成，最低要求为12．5％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C.确定新监管标准的实施过渡期为10年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D.引入杠杆率监管标准，自2011年初按照3％的标准开始监控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本题考查巴塞尔协议Ⅲ。</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选项A错误；要求银行建立与信贷过快增长挂钩的反周期超额资本，在信贷高速扩张时期积累充足的经济资源，最低要求为0～2．5％；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选项B错误；超额留存资本由普通股构成，最低要求为2．5％；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选项C错误；巴塞尔委员会确定新监管标准的实施过渡期为8年。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选项D正确；引入杠杆率监管标准，自2011年初按照3％的标准开始监控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3.根据1988年巴塞尔报告，以下属于核心资本的是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A.实收股本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B.资产重估储备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C.呆账准备金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D.长期次级债券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本题考查1988年巴塞尔报告。核心资本又称为一级资本，包括实收股本(普通股)和公开储备，这部分至少占全部资本的50％。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选项A正确；实收股本：属于核心资本，是银行通过发行普通股筹集的资本。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选项B错误；资产重估储备：属于附属资本（二级资本），是银行因资产价值重估而产生的增值部分。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选项C错误；呆账准备金：属于附属资本（二级资本），是银行为应对可能的贷款损失而提取的准备金。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选项D错误；长期次级债券：属于附属资本（二级资本），是银行发行的长期债务工具，其清偿顺序在普通债务之后。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4.为增强银行体系维护流动性的能力，巴塞尔协议Ⅲ引入了流动性风险监管的量化指标。其中用于度量中长期内银行解决资金错配能力的指标是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A.流动性覆盖率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B.净稳定融资比率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C.资本充足率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D.资产负债率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选项B正确；净稳定融资比率用于度量中长期内银行解决资金错配的能力，它覆盖整个资产负债表，目的是激励银行尽量使用稳定的资金来源。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选项A错误；流动性覆盖率,用于度量短期压力情境下单个银行流动性状况,目的是提高银行短期应对流动性中断的弹性。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选项C错误；资本充足率,即资本与风险加权资产的比率</w:t>
      </w:r>
    </w:p>
    <w:p w14:paraId="36EC3B83">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选项D错误；资产负债率也称负债比率或举债经营比率,是指负债总额对全部资产总额之比,用来衡量企业利用债权人提供资金进行经营活动的能力,反映债权人发放贷款的安全程度。</w:t>
      </w:r>
    </w:p>
    <w:p w14:paraId="647F99E6">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5.“巴塞尔协议Ⅲ”强化了银行资本充足率监管标准，待新标准实施后，商业银行总资本充足率应达到</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A.4．5％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C.8％</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D.10．5％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本题考查国际金融的监管协调。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错误；巴塞尔协议Ⅲ中强化资本充足率监管标准。资本监管在巴塞尔委员会监管框架中长期占据主导地位,也是本轮金融监管改革的核心。巴塞尔委员会确定了三个最低资本充足率监管标准,普通股充足率为4.5%,一级资本充足率为6%,总资本充足率为8%。</w:t>
      </w:r>
    </w:p>
    <w:p w14:paraId="7404EB4C">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选项D正确；待新标准实施后，正常情况下，商业银行的普通股、一级资本和总资本充足率应分别达到7%、8.5%和10.5%。</w:t>
      </w:r>
    </w:p>
    <w:p w14:paraId="218D4C4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.根据新巴塞尔资本协议，监管当局的主要职责应包括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A.提高最低资本充足率要求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B.全面监管银行资本充足状况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C.培育银行内部信用评估系统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D.有效发挥最后贷款人作用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E.加快制度化进程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此题考查2003新巴塞尔资本协议中监管当局的监督检查内容。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选项BCE正确；委员会希望监管当局担当起三大职责：</w:t>
      </w:r>
      <w:r>
        <w:rPr>
          <w:rFonts w:hint="eastAsia" w:asciiTheme="minorEastAsia" w:hAnsiTheme="minorEastAsia" w:eastAsiaTheme="minorEastAsia" w:cstheme="minorEastAsia"/>
          <w:b/>
          <w:bCs/>
          <w:i w:val="0"/>
          <w:iCs w:val="0"/>
          <w:caps w:val="0"/>
          <w:color w:val="000000"/>
          <w:spacing w:val="0"/>
          <w:kern w:val="0"/>
          <w:sz w:val="21"/>
          <w:szCs w:val="21"/>
          <w:lang w:val="en-US" w:eastAsia="zh-CN" w:bidi="ar"/>
        </w:rPr>
        <w:t>①全面监管银行资本充足状况；②培育银行的内部信用评估系统；③加快制度化进程。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提高最低资本充足率要求：这是最低资本要求（第一支柱）的内容，而非监管当局的职责；有效发挥最后贷款人作用：虽然这是中央银行的职能之一，但不属于新巴塞尔协议规定的监管当局三大职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.为增强单家银行以及银行体系维护流动性的能力，引入的流动性风险监管的量化指标有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A.流动性覆盖率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B.一级资本充足率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C.净稳定融资比率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D.资本杠杆率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E.普通资本充足率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此题考查巴塞尔协议Ⅲ中建立流动性风险量化监管标准的内容。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选项AC正确；两个流动性风险监管的量化指标是</w:t>
      </w:r>
      <w:r>
        <w:rPr>
          <w:rFonts w:hint="eastAsia" w:asciiTheme="minorEastAsia" w:hAnsiTheme="minorEastAsia" w:eastAsiaTheme="minorEastAsia" w:cstheme="minorEastAsia"/>
          <w:b/>
          <w:bCs/>
          <w:i w:val="0"/>
          <w:iCs w:val="0"/>
          <w:caps w:val="0"/>
          <w:color w:val="000000"/>
          <w:spacing w:val="0"/>
          <w:kern w:val="0"/>
          <w:sz w:val="21"/>
          <w:szCs w:val="21"/>
          <w:lang w:val="en-US" w:eastAsia="zh-CN" w:bidi="ar"/>
        </w:rPr>
        <w:t>流动性覆盖率、净稳定融资比率。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选项BDE错误；一级资本充足率、资本杠杆率和普通资本充足率属于资本充足率监管标准或杠杆率监管标准，不属于流动性风险监管的量化指标。</w:t>
      </w:r>
    </w:p>
    <w:p w14:paraId="3E028CBA">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FB6DDD"/>
    <w:rsid w:val="44D86D79"/>
    <w:rsid w:val="7EFBA39E"/>
    <w:rsid w:val="FEFB6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6814</Words>
  <Characters>7076</Characters>
  <Lines>0</Lines>
  <Paragraphs>0</Paragraphs>
  <TotalTime>0</TotalTime>
  <ScaleCrop>false</ScaleCrop>
  <LinksUpToDate>false</LinksUpToDate>
  <CharactersWithSpaces>7095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2025-08-14T13:40:00Z</dcterms:created>
  <dc:creator>MEI</dc:creator>
  <cp:lastModifiedBy>玉生烟罗</cp:lastModifiedBy>
  <dcterms:modified xsi:type="dcterms:W3CDTF">2025-08-18T13:55:45Z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C611C544B33DA579C4769D684B8FAC6B_41</vt:lpwstr>
  </property>
  <property fmtid="{D5CDD505-2E9C-101B-9397-08002B2CF9AE}" pid="4" name="KSOTemplateDocerSaveRecord">
    <vt:lpwstr>eyJoZGlkIjoiNDRlYTAwOTc5MTNmOWRiZDM5YzMzZWQ3MzliNTM4YTQiLCJ1c2VySWQiOiI0NDQwODk2NzgifQ==</vt:lpwstr>
  </property>
</Properties>
</file>