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2F1C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货币需求</w:t>
      </w:r>
    </w:p>
    <w:p w14:paraId="5F94BF5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1.传统货币数量说中，代表的是费雪的现金交易数量说和剑桥学派的现金余额数量说，两者得到结论是：假设其他因素不变，则</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A.物价水平和货币量成反比，货币价值与货币量成正比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B.物价水平和货币量成正比，货币价值与货币量成正比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C.物价水平和货币量成反比，货币价值与货币量成反比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D.物价水平和货币量成正比，货币价值与货币量成反比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选项D正确；从费雪方程式MV=PT中可以得出物价水平和货币量成正比，从庇古提出的剑桥方程式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419100" cy="428625"/>
            <wp:effectExtent l="0" t="0" r="0" b="9525"/>
            <wp:docPr id="2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IMG_256"/>
                    <pic:cNvPicPr>
                      <a:picLocks noChangeAspect="1"/>
                    </pic:cNvPicPr>
                  </pic:nvPicPr>
                  <pic:blipFill>
                    <a:blip r:embed="rId4"/>
                    <a:stretch>
                      <a:fillRect/>
                    </a:stretch>
                  </pic:blipFill>
                  <pic:spPr>
                    <a:xfrm>
                      <a:off x="0" y="0"/>
                      <a:ext cx="419100" cy="42862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中可以得到货币价值与货币量成反比。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2.流动性偏好理论认为，人们的货币需求行为不取决于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A.投机动机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B.投资动机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C.预防动机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D.交易动机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选项ACD错误；凯恩斯的货币需求理论一流动性偏好论。该理论认为货币需求由三类动机决定：交易动机、预防动机、投机动机。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选项B正确；并不取决于投资动机，符合题意。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3.交易动机和预防动机构成</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，由获得的收入多少决定，是国民收入的增函数。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A.投机性需求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B.交易性需求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C.投资性需求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D.一般性需求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此题考查凯恩斯的货币需求理论一流动性偏好论。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选项B正确；交易动机和预防动机构成交易性需求，由获得的收入多少决定，是国民收入的增函数。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选项A错误；投机性需求,由利率的高低决定,是利率的减函数。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p>
    <w:p w14:paraId="4A2B926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41D38A0C">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p>
    <w:p w14:paraId="647A12FF">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05F6D0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4.经济主体在既定的收入和财富范围内能够并愿意持有货币的数量称为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A.货币供给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C.基础货币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D.社会需求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选项B正确；货币需求是指经济主体在既定的收入和财富范围内能够并愿意持有货币的数量。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选项A错误；货币供给是相对于货币需求而言的,指货币供给主体即一国或者货币区的银行系统向经济主体供给货币以满足其货币需求的过程。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5.关于凯恩斯的货币需求理论的说法，错误的是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A.凯恩斯认为，当利率降到某一低点时，货币需求会无限增大，此时无人愿意持有债券，都愿意持有货币，流动性偏好具有相对性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B.凯恩斯的货币需求理论采用了大量心理分析法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C.凯恩斯的货币需求理论将货币作为宏观经济中的一个重要的经济变量和政策变量来研究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D.凯恩斯的货币需求理论认为，投机性需求是利率的减函数，由利率的高低决定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本题考查凯恩斯的货币需求理论。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选项A错误；凯恩斯认为，当利率降到某一低点时，货币需求会无限增大，此时无人愿意持有债券，都愿意持有货币，流动性偏好具有绝对性。这就是著名的流动性陷阱。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凯恩斯的货币需求函数建立在“未来的不确定性”和“收入是短期资产”这两个假定之上,采用了大量的心理分析法,并突破了西方经济学传统的货币理论研究范围,将货币作为宏观经济中一个重要的经济变量和政策变量来研究,比传统的货币数量论的研究层次更高。</w:t>
      </w:r>
    </w:p>
    <w:p w14:paraId="3235917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选项D正确；交易动机预防动机构成交易性需求,由获得的收入多少决定,是国民收入的增函数,即L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(Y)。后一项是投机性需求,由利率的高低决定,是利率的减函数,即L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(i)。</w:t>
      </w:r>
    </w:p>
    <w:p w14:paraId="3D1005F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6.弗里德曼的现代货币数量说提出的货币需求函数是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A.MV=PT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B.π=(K×Y)/M</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085975" cy="266700"/>
            <wp:effectExtent l="0" t="0" r="9525" b="0"/>
            <wp:docPr id="2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IMG_257"/>
                    <pic:cNvPicPr>
                      <a:picLocks noChangeAspect="1"/>
                    </pic:cNvPicPr>
                  </pic:nvPicPr>
                  <pic:blipFill>
                    <a:blip r:embed="rId5"/>
                    <a:stretch>
                      <a:fillRect/>
                    </a:stretch>
                  </pic:blipFill>
                  <pic:spPr>
                    <a:xfrm>
                      <a:off x="0" y="0"/>
                      <a:ext cx="2085975" cy="2667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D.L=L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(Y)+L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(i)</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本题考查弗里德曼的货币需求函数。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选项A错误；是费雪方程式；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选项B错误；是剑桥学派现金余额数量说的方程式；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选项D错误；是凯恩斯货币需求理论的货币需求函数。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7.下列属于凯恩斯的货币需求函数的是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A.MV=PT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B.π=(K×Y)／M</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C.L=L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(Y)+L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(i)</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314575" cy="304800"/>
            <wp:effectExtent l="0" t="0" r="9525" b="0"/>
            <wp:docPr id="24" name="图片 2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58"/>
                    <pic:cNvPicPr>
                      <a:picLocks noChangeAspect="1"/>
                    </pic:cNvPicPr>
                  </pic:nvPicPr>
                  <pic:blipFill>
                    <a:blip r:embed="rId6"/>
                    <a:stretch>
                      <a:fillRect/>
                    </a:stretch>
                  </pic:blipFill>
                  <pic:spPr>
                    <a:xfrm>
                      <a:off x="0" y="0"/>
                      <a:ext cx="2314575" cy="3048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本题考查货币需求函数。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选项C正确；凯恩斯的货币需求函数为L=L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(Y)+L</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(i)。</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选项A错误；属于费雪方程式。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选项B错误；属于剑桥学派的现金余额数量说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选项D错误；属于弗里德曼的现代货币数量说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.关于凯恩斯货币需求理论的需求动机，说法正确的有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A.需求动机由交易动机、预防动机和投机动机组成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B.交易动机即由于收入和支出的时间不一致，为进行日常交易而产生的持有货币的愿望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C.投机动机即由于收入的不确定性，根据收入变化的预期需要持有货币以便从中获利的动机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D.交易动机和预防动机共同构成交易性需求，是国民收入的减函数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E.投机动机构成投机性需求，是利率的减函数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本题考查凯恩斯的货币需求理论。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选项C错误；投机动机即由于利率的不确定性，根据对市场利率变化的预期需要持有货币，以便从中获利的动机。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选项D错误；交易性需求由获得的收入多少决定，是国民收入的增函数。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.凯恩斯的货币需求函数建立在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假定之上。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A.未来的不确定性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B.未来的确定性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C.收入是短期资产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D.利润是短期资产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E.利润是长期资产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本题考查凯恩斯的货币需求函数。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选项AC正确；凯恩斯的货币需求函数建立在“未来的不确定性”和“收入是短期资产”这两个假定之上。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选项BDE错误；为干扰项</w:t>
      </w:r>
    </w:p>
    <w:p w14:paraId="29E5487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BDB565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货币供给</w:t>
      </w:r>
    </w:p>
    <w:p w14:paraId="672A6B4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1.我国狭义货币供应量是在M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的基础上增加了</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A.单位活期存款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B.单位定期存款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C.财政存款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D.个人定期存款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此题考查货币供给层次的划分。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=流通中货币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+单位活期存款+个人活期存款+非银行支付机构客户备付金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+单位定期存款＋个人定期存款＋其他存款(财政存款除外)</w:t>
      </w:r>
    </w:p>
    <w:p w14:paraId="6813D8E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4D28ABF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2.根据我国货币供给层次的划分，既属于狭义货币供应量M1，又属于广义货币供应量M2的是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A.单位活期存款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B.单位定期存款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C.个人定期存款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D.财政存款除外的其他存款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此题考查货币供给层次的划分。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M0=流通中货币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选项A正确；M1=M0+单位活期存款+个人活期存款+非银行支付机构客户备付金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选项BCD错误；M2=M1+单位定期存款＋个人定期存款＋其他存款(财政存款除外)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3.货币供应量包括现金和存款两个部分，其中现金是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B.商业银行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C.政策性银行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D.中央银行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本题考查货币供给机制。货币供应量包括现金和存款两个部分，其中现金是中央银行的负债，存款是商业银行的负债。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4.下列关于数字货币的说法，错误的是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A.根据发行人的不同，数字货币可分为法定数字货币和私人数字货币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B.法定数字货币是商业银行发行的数字货币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C.私人数字货币是指私人部门发行的以数字加密技术和分布式账本技术为基础的加密数字货币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D.不论是法定数字货币还是私人数字货币，都具有匿名性、安全性、可编程性和高效率性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本题考查数字货币。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选项A正确；根据发行人的不同,数字货币可分为法定数字货币和私人数字货币。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选项B错误；法定数字货币是指中央银行发行的数字货币;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选项C正确；私人数字货币是指私人部门发行的以数字加密技术和分布式账本技术为基础的加密数字货币。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不论是法定数字货币还是私人数字货币,均突出表现为以下几个特点:①匿名性,使用者的个人信息和隐私能得到较好保护。②安全性，数字货币使用数字签名、安全加密存储等技术,不可重复花费、不可非法复制伪造、交易不可篡改。③可编程性,数字货币采用的区块链技术支持可编程合约。④高效率性,数字货币以区块链形式运行记账,通过公私钥匙进行交易签名验证,可以减少对中介的需求,降低交易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.关于社会融资规模的说法，正确的有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A.社会融资规模是指一定时期内实体经济从金融体系获得的资金总额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B.社会融资总规模的概念在2010年中央经济工作会议中首次提出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C.社会融资规模包括实体经济从银行业获得的融资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D.社会融资规模不包括实体经济从证券业和保险业获得的融资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E.社会融资规模可以全面反映金融与经济关系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本题考查社会融资规模。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选项A正确；社会融资规模是指一定时期内(每月、每季度或每年)实体经济(即非金融企业和住户)从金融体系获得的资金总额。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选项C正确，D错误；它既包括实体经济从银行业获得的融资，也包括实体经济从证券业和保险业获得的融资。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选项BE正确；社会融资规模是一个全面反映金融与经济关系,以及金融对实体经济资金支持的总量指标。2010年中央经济工作会议首次提出“社会融资总规模”的概念,2011年起由中国人民银行发布社会融资规模数据。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综上所述本题选择ABCE</w:t>
      </w:r>
    </w:p>
    <w:p w14:paraId="193F12D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2EE58F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.根据我国目前对货币层次的划分，属于M2而不属于M1的有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A.单位活期存款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B.单位定期存款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C.流通中的货币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D.除财政存款以外的其他存款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E.个人定期存款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按照我国货币层次的划分：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=流通中货币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+单位活期存款+个人活期存款+非银行支付机构客户备付金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=M</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+单位定期存款＋个人定期存款＋其他存款(财政存款除外)</w:t>
      </w:r>
    </w:p>
    <w:p w14:paraId="3C935C9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0AE8CEBB">
      <w:pPr>
        <w:keepNext w:val="0"/>
        <w:keepLines w:val="0"/>
        <w:widowControl/>
        <w:suppressLineNumbers w:val="0"/>
        <w:jc w:val="left"/>
        <w:rPr>
          <w:rFonts w:hint="eastAsia" w:asciiTheme="minorEastAsia" w:hAnsiTheme="minorEastAsia" w:eastAsiaTheme="minorEastAsia" w:cstheme="minorEastAsia"/>
          <w:sz w:val="21"/>
          <w:szCs w:val="21"/>
        </w:rPr>
      </w:pPr>
    </w:p>
    <w:p w14:paraId="1E46166D">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4D18D8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货币均衡</w:t>
      </w:r>
    </w:p>
    <w:p w14:paraId="469097F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1.政府向中央银行透支以融通财政赤字，过度追求经济增长速度而不适当地采取扩张性货币政策刺激经济，这种做法会导致</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A.总量性货币失衡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B.结构性货币失衡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C.赤字性货币失衡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D.动态性货币失衡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本题考查货币失衡的类型。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总量性货币失衡是指货币供给在总量上偏离货币需求达到一定程度从而使货币运行影响经济的状态。造成货币供应量大于货币需求量的原因很多，例如，政府向中央银行透支以融通财政赤字，过度追求经济增长速度而不适当地采取扩张性货币政策刺激经济，其后果之一就是引发严重的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选项B错误；结构性货币失衡是另一大类货币失衡,主要发生在发展中国家,是指在货币供给与需求大体一致的总量均衡条件下,货币供给结构与对应的货币需求结构不相适应。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2.若将物价自然上涨率考虑进去，则流通领域中货币数量的增长与国内生产总值的增长之间的关系应是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A.前者低于后者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B.前者高于后者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C.二者相等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D.二者无关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本题考查货币均衡。若考虑物价自然上升的因素，流通领域中货币数量的增长应略高于国内生产总值的增长。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.货币均衡是用来说明货币供给与货币需求的关系，其特征有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A.货币供给与货币需求大体一致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B.货币供给与货币需求在数量上完全相等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C.货币均衡是一个动态过程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D.货币均衡是一个静态过程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E.现代经济中货币均衡在一定程度上反映了经济总体均衡状况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货币均衡的特征包括：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选项A正确，B错误；①货币均衡是货币供给与货币需求的大体一致，而非货币供给与货币需求在数量上的完全相等；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选项C正确，D错误；②货币均衡是一个动态过程，在短期内货币供求可能不一致，但在长期内是大体一致的；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选项E正确；③现代经济中的货币均衡在一定程度上反映了经济总体均衡状况。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综上所述本题选择ACE</w:t>
      </w:r>
    </w:p>
    <w:p w14:paraId="2826970F">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4E4FE6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通货膨胀</w:t>
      </w:r>
    </w:p>
    <w:p w14:paraId="72F28F7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1.垄断企业为保证实现其利润目标而操纵市场、人为抬高产品价格而引起的通货膨胀属于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A.需求拉上型通货膨胀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B.结构型通货膨胀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C.利润推进型通货膨胀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D.输入型通货膨胀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此题考查通货膨胀的类型。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在成本推进型的类型中，利润推进型通货膨胀是指垄断企业为保证实现其利润目标而操纵市场、人为抬高产品价格而引起的通货膨胀。成本推进型通货膨胀指因成本自发性增加而导致物价上涨的通货膨胀类型。这种通货膨胀分为：“工资推进性通货膨胀”和“利润推进型通货膨胀”两种。“利润推进型通货膨胀”也属于成本推进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选项A错误；需求拉上型通货膨胀是指因社会总需求过度增长,超过了社会总供给的增长幅度,导致商品和劳务供给不足、物价持续上涨的通货膨胀类型。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选项B错误；结构型通货膨胀是指因经济结构方面的因素变动,即使总供给与总需求处于均衡状态,也会引起物价总水平上涨的通货膨胀类型。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选项D错误；输入型通货膨胀是指因进口商品价格上升、费用增加而使物价总水平上涨所引起的通货膨胀类型。</w:t>
      </w:r>
    </w:p>
    <w:p w14:paraId="78B59D7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A2F118D">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2.抑制型通货膨胀特有的表现为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A.人们持币待购导致货币流通速度变慢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B.物价普遍上涨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C.有效需求不足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D.货币贬值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此题考查通货膨胀的类型。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选项A正确；抑制型通货膨胀是指，一个国家实行物价管制的情况下，商品供给短缺不能由物价上涨来反映，只表现为人们普遍持币待购而使货币流通速度减慢，又称为隐蔽型通货膨胀。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选项D错误；无论是西方经济学还是马克思主义货币理论,都把通货膨胀和物价上涨联系在一起,将物价上涨作为通货膨胀的基本标志。这是因为通货膨胀的基本内容就是货币供给过度而造成单位货币贬值。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选项BC错误；为干扰项</w:t>
      </w:r>
    </w:p>
    <w:p w14:paraId="0181EB9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3.政府为阻止失业率上升而增加支出，这体现了需求拉上型通货膨胀的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A.诱发性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B.自发性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C.支持性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D.扩张性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本题考查通货膨胀的类型。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需求拉上型通货膨胀。需求拉上型通货膨胀是指因社会总需求过度增长,超过了社会总供给的增长幅度,导致商品和劳务供给不足、物价持续上涨的通货膨胀类型。这种通货膨胀的特点有: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选项B错误；自发性,即支出的增长是独立的,与实际的或预期的成本增长无关;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选项A错误；诱发性,即成本的增长导致工资及其他收入的增长,诱使消费支出增长;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选项C正确；支持性,即政府为阻止失业率上升而增加支出,或采取扩张性财政政策或货币政策以增加总需求。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p>
    <w:p w14:paraId="11B2BC1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4.通货膨胀的国际传导现象指的是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A.需求拉上型通货膨胀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B.成本推动型通货膨胀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C.输入型通货膨胀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D.结构型通货膨胀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本题考查通货膨胀的类型。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选项C正确；输入型通货膨胀是指因进口商品价格上升、费用增加而使物价总水平上涨所引起的通货膨胀类型。这实质上是一种通货膨胀的国际传导现象。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选项A错误；需求拉上型通货膨胀是指因社会总需求过度增长,超过了社会总供给的增长幅度,导致商品和劳务供给不足、物价持续上涨的通货膨胀类型。</w:t>
      </w:r>
    </w:p>
    <w:p w14:paraId="00F97D4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选项B错误；成本推进型通货膨胀是指因成本自发性增加而导致物价上涨的通货膨胀类型。</w:t>
      </w:r>
    </w:p>
    <w:p w14:paraId="3F4B515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选项D错误；结构型通货膨胀是指因经济结构方面的因素变动,即使总供给与总需求处于均衡状态,也会引起物价总水平上涨的通货膨胀类型。</w:t>
      </w:r>
    </w:p>
    <w:p w14:paraId="0B5B071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5.通货膨胀可按其成因分为很多类型，因</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引发的通货膨胀称为输入型通货膨胀。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A.成本自发性增加而导致物价上涨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B.进口商品价格上升、费用增加而使物价总水平上涨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C.经济结构方面的因素变动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D.社会总需求过度增长，超过了社会总供给的增长幅度，导致商品和劳务供给不足、物价持续上涨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本题考查通货膨胀的类型。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选项B正确；输入型通货膨胀是指因进口商品价格上升、费用增加而使物价总水平上涨所引起的通货膨胀。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选项A错误；是成本推进型通货膨胀的成因；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选项C错误；是结构型通货膨胀的成因；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选项D错误；是需求拉上型通货膨胀的成因。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6.在通货膨胀时期，中央银行采取下列</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措施，可以抑制商业银行对中央银行的贷款需求，增加商业银行的借款成本，迫使商业银行提高贷款利率。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A.提高法定存款准备金率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B.提高再贴现率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C.公开市场操作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D.发行公债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本题考查通货膨胀的治理。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提高再贴现率，不仅可以抑制商业银行对中央银行的贷款需求，还可以增加商业银行的借款成本，迫使商业银行提高贷款利率和贴现率，结果企业因贷款成本增加而减少投资，货币供给量也随之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选项A错误；提高法定存款准备金率。中央银行提高法定存款准备金率、降低商业银行创造货币的能力,从而达到紧缩信贷规模、削减投资支出、减少货币供给量的目的。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选项C错误；公开市场操作。公开市场操作是中央银行经常使用的一种货币政策。在通货膨胀时期,中央银行一般会通过公开市场向商业银行等金融机构出售有价证券,从而达到紧缩信用、减少货币供给量的目的。</w:t>
      </w:r>
    </w:p>
    <w:p w14:paraId="2339E26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选项D错误；发行公债。政府发行公债后,可以利用“挤出效应”减少民间部门的投资和消费,抑制社会总需求。</w:t>
      </w:r>
    </w:p>
    <w:p w14:paraId="0CBA303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.紧缩性的货币政策措施主要有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A.提高法定存款准备金率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B.提高再贴现率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C.降低法定存款准备金率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D.降低再贴现率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E.公开市场操作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选项ABE正确；紧缩性的货币政策措施主要有：提高法定存款准备金率、提高再贴现率、公开市场操作。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【扩展】紧缩性财政政策。紧缩性财政政策直接从限制支出、减少需求等方面来减轻通货膨胀压力,概括地说就是增收节支,减少赤字。一般包括以下措施:①减少政府支出。②增加税收。③发行公债。</w:t>
      </w:r>
    </w:p>
    <w:p w14:paraId="3717884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389F22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.按通货膨胀的表现形式划分，可以将通货膨胀分为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A.需求拉上型通货膨胀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B.成本推进型通货膨胀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C.公开型通货膨胀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D.抑制型通货膨胀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E.结构型通货膨胀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此题考查通货膨胀的类型。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选项CD正确；按通货膨胀的表现形式划分，可以将通货膨胀分为公开型通货膨胀和抑制型通货膨胀。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选项ABE错误；属于按“成因划分”。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注意审题，题干问的是按“表现形式划分”</w:t>
      </w:r>
      <w:r>
        <w:rPr>
          <w:rFonts w:hint="eastAsia" w:asciiTheme="minorEastAsia" w:hAnsiTheme="minorEastAsia" w:cstheme="minorEastAsia"/>
          <w:i w:val="0"/>
          <w:iCs w:val="0"/>
          <w:caps w:val="0"/>
          <w:color w:val="000000"/>
          <w:spacing w:val="0"/>
          <w:kern w:val="0"/>
          <w:sz w:val="21"/>
          <w:szCs w:val="21"/>
          <w:lang w:val="en-US" w:eastAsia="zh-CN" w:bidi="ar"/>
        </w:rPr>
        <w:t>。</w:t>
      </w:r>
    </w:p>
    <w:p w14:paraId="25AF01F0">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A51EE"/>
    <w:rsid w:val="4F7A51EE"/>
    <w:rsid w:val="69ED7181"/>
    <w:rsid w:val="795F5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6449</Words>
  <Characters>6774</Characters>
  <Lines>0</Lines>
  <Paragraphs>0</Paragraphs>
  <TotalTime>0</TotalTime>
  <ScaleCrop>false</ScaleCrop>
  <LinksUpToDate>false</LinksUpToDate>
  <CharactersWithSpaces>6788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2025-08-14T11:46:00Z</dcterms:created>
  <dc:creator>MEI</dc:creator>
  <cp:lastModifiedBy>玉生烟罗</cp:lastModifiedBy>
  <dcterms:modified xsi:type="dcterms:W3CDTF">2025-08-18T13:51:40Z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49FF07E8EBB0AD9BFB5B9D68FE420F53_41</vt:lpwstr>
  </property>
  <property fmtid="{D5CDD505-2E9C-101B-9397-08002B2CF9AE}" pid="4" name="KSOTemplateDocerSaveRecord">
    <vt:lpwstr>eyJoZGlkIjoiNDRlYTAwOTc5MTNmOWRiZDM5YzMzZWQ3MzliNTM4YTQiLCJ1c2VySWQiOiI0NDQwODk2NzgifQ==</vt:lpwstr>
  </property>
</Properties>
</file>