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E191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财政政策功能与目标</w:t>
      </w:r>
    </w:p>
    <w:p w14:paraId="1159C89F">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1.对一些高档品和资源性消费品征收消费税，可以达到引导消费方向、控制资源浪费和保护生态环境的目的，是财政政策</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的体现。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A.导向功能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B.协调功能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C.控制功能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D.稳定功能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此题考查财政政策的功能。</w:t>
      </w:r>
    </w:p>
    <w:p w14:paraId="06A21B3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选项C正确；控制功能是指政府通过财政政策调节企业和居民等市场经济主体的经济行为，实现对经济社会的有效控制。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选项A错误；导向功能是指财政政策通过财政分配和管理活动,调整人们的物质利益,进而调节企业和个人的经济行为,引导国民经济运行。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选项B错误；协调功能是指财政政策的协调功能主要体现在对社会经济发展过程中,在地区之间、行业之间,部门之间等出现的某些失衡状况进行调节和制约。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选项D错误；稳定功能是指财政政策的稳定功能是指政府通过财政政策,调整社会总需求和总供给,实现总供需的总量平衡和结构平衡,进而实现国民经济的又好又快发展。</w:t>
      </w:r>
    </w:p>
    <w:p w14:paraId="341624F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2.如果一个国家国际收支长期不平衡（出现逆差）,可能出现的后果是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A.外汇储备不断增加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B.外债负担逐渐减少</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C.国民收入增长率下降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D.不影响在国际金融体系中的地位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此题考查财政政策的目标中国际收支平衡的内容。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选项C正确；如果一个国家国际收支长期不平衡，将使该国外汇储备不断减少，外债负担逐渐增加，严重削弱在国际金融体系中的地位，并导致该国国民收入增长率下降。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.财政政策通过调节社会总需求与总供给，优化社会资源配置，以实现</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A.物价基本稳定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B.国际收支平衡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C.促进充分就业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D.平衡部门预算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E.经济稳定增长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财政政策的目标是，政府制定和实施财政政策要达到的预期目的。财政政策通过调节社会总需求与总供给，优化社会资源配置，以实现促进充分就业、物价基本稳定、国际收支平衡、经济稳定增长的目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.在现代市场经济中，财政政策的功能包括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A.导向功能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B.协调功能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C.控制功能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D.稳定功能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E.资源配置功能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本题考查财政政策的功能。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选项ABCD正确；财政政策的功能包括导向功能、协调功能、控制功能和稳定功能。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选项E错误；为干扰项，资源配置职能为财政的基本职能</w:t>
      </w:r>
    </w:p>
    <w:p w14:paraId="5BF93819">
      <w:pPr>
        <w:rPr>
          <w:rFonts w:hint="eastAsia" w:asciiTheme="minorEastAsia" w:hAnsiTheme="minorEastAsia" w:eastAsiaTheme="minorEastAsia" w:cstheme="minorEastAsia"/>
          <w:sz w:val="21"/>
          <w:szCs w:val="21"/>
          <w:lang w:val="en-US" w:eastAsia="zh-CN"/>
        </w:rPr>
      </w:pPr>
    </w:p>
    <w:p w14:paraId="0A532C3F">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09D0732D">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财政政策工具与类型</w:t>
      </w:r>
    </w:p>
    <w:p w14:paraId="05E842C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1.当社会总供给大于社会总需求时，为实施宏观调控而选择的财政政策工具包括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A.减少财政支出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B.增加长期国债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C.降低税率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D.减少财政补贴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此题考查财政政策的工具。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预算调节经济的作用主要表现在财政收支的规模及其差额上。当社会总供给大于总需求时，政府预算一般采取扩大支出规模、保持一定赤字规模的做法来扩大社会总需求；当社会总供给小于总需求时，政府预算一般采取缩小支出规模、保持预算盈余的做法来抑制社会总需求；当社会总供给与总需求基本平衡即经济稳定发展时，政府一般实行中性的预算平衡政策，保持预算收支规模的基本平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选项ABD错误；是当社会总供给小于社会总需求时采用的缩小支出规模、保持预算盈余手段。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2.在经济稳定增长时期，政府通常会采用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，通过实施财政收支基本平衡或动态平衡的财政政策，保持经济的持续稳定发展。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A.扩张性财政政策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B.紧缩性财政政策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C.中性财政政策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D.自动稳定的财政政策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此题考查财政政策的类型。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选项C正确；中性财政政策，是指在经济稳定增长时期，政府通过实施财政收支基本平衡或者动态平衡的财政政策，以保持经济的持续稳定发展。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选项A错误；扩张性财政政策是指通过财政收支活动增加和刺激社会总需求的政策。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选项B错误；紧缩性财政政策是指通过财政收支活动来减小和抑制社会总需求的政策。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选项D错误；自动稳定的财政政策是指财政制度本身存在一种内在的、不需要政府采取其他干预行为就可以随着经济社会的发展而自动调节经济运行的机制。这种机制也被称为财政“自动稳定器”。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3.用以达到财政政策目标的各种财政手段称为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A.财政政策功能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B.财政政策类型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C.财政政策乘数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D.财政政策工具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选项A错误；财政政策的功能1.导向功能。2.协调功能。3.控制功能。4.稳定功能。</w:t>
      </w:r>
    </w:p>
    <w:p w14:paraId="112EA9B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选项B错误；财政政策的类型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1.自动稳定的财政政策和相机抉择的财政政策。将财政政策分为自动稳定的财政政策和相机抉择的财政政策,是根据财政政策调节经济周期的作用来划分的。</w:t>
      </w:r>
    </w:p>
    <w:p w14:paraId="0D2ED01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2.扩张性财政政策、紧缩性财政政策和中性财政政策。将财政政策分为扩张性财政政策、紧缩性财政政策和中性财政政策,是根据财政政策在调节国民经济总量和结构中的不同功能来划分的。</w:t>
      </w:r>
    </w:p>
    <w:p w14:paraId="7A270ED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选项C错误；财政政策乘数被用来研究财政收支变化对国民收入的影响。财政政策乘数具体包括税收乘数、政府购买支出乘数和平衡预算乘数。</w:t>
      </w:r>
    </w:p>
    <w:p w14:paraId="011C03B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选项D正确；财政政策工具是指用以达到财政政策目标的各种财政手段。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4.财政政策工具中，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调节经济的作用主要表现在财政收支的规模及其差额上。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A.预算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B.补贴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C.税收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本题考查财政政策工具。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选项A正确；预算调节经济的作用主要表现在财政收支的规模及其差额上。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选项B错误；财政补贴政策。一般来讲,享受政府财政补贴的对象大多是低收入群体。通过增加财政补贴,可以提高低收入群体的可支配收入水平,促进社会公平分配。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税收政策。在经济繁荣时期,政府通过提高税率、减少税收优惠等途径增加税收,减少企业和个人可支配收入,抑制企业和个人的投资需求和消费需求,降低社会总需求,使过快或过热的经济增长平稳回落或降温。相反,在经济萧条时期,政府通过降低税率、实行更多税收优惠等途径减少税收,增加企业和个人可支配收入,鼓励企业和个人的投资需求和消费需求,增加社会总需求,促进经济增长。</w:t>
      </w:r>
    </w:p>
    <w:p w14:paraId="6CC1158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公债政策。在公债发行中通过期限种类的不同设计和调换公债长短期限等办法,可以对经济运行产生扩张或者紧缩的影响；通过调整国债发行利率水平影响金融市场利率的变化,可以对经济运行产生扩张性或者紧缩性的影响。</w:t>
      </w:r>
    </w:p>
    <w:p w14:paraId="786DD5D1">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5.关于财政政策的说法，正确的是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A.补偿政策属于自动稳定财政政策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B.累进所得税制度属于自动稳定财政政策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C.经济萧条时采用紧缩性政策来调节社会需求属于汲水政策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D.经济萧条时进行公共投资来增加社会有效需求，使经济恢复活力属于均衡政策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本题考查财政政策的类型。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选项A错误；补偿政策和汲水政策属于相机抉择的财政政策。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选项B正确；财政“自动稳定器”,主要表现在两方面:①累进所得税(包括个人所得税和企业所得税)的自动稳定作用。②政府福利支出的自动稳定作用。</w:t>
      </w:r>
    </w:p>
    <w:p w14:paraId="1C15453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选项C错误；补偿政策是指政府有意识地从当时经济状态的反方向上调节经济变动的财政政策，以实现稳定经济波动的目的。比如经济繁荣时采用紧缩性政策来调节，经济萧条时采用扩张性政策来调节。</w:t>
      </w:r>
    </w:p>
    <w:p w14:paraId="0C20E4A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选项D错误；汲水政策是指在经济萧条时期进行公共投资，以增加社会有效需求，使经济恢复活力。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6.“双紧”搭配类型的政策效果是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A.可以有效抑制需求膨胀与通货膨胀，但也可能会带来经济停滞的后果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B.刺激经济增长，扩大就业，但也会带来通货膨胀的风险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C.在控制通货膨胀的同时，保持适度经济增长，但难以抑制通货膨胀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D.保持经济适度增长的同时，尽可能避免通货膨胀，但长期使用会积累大量财政赤字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本题考查财政政策的类型。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选项A正确；“双紧”搭配类型,这是指紧缩性财政政策与紧缩性货币政策的组合,这种政策组合可以有效抑制需求膨胀与通货膨胀,但也可能会带来经济停滞。</w:t>
      </w:r>
    </w:p>
    <w:p w14:paraId="6B018B97">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选项B错误；“双松”的政策效果，指扩张性财政政策与扩张性货币政策的组合,这种政策组合可以刺激经济增长,扩大就业,但也会带来通货膨胀的风险。</w:t>
      </w:r>
    </w:p>
    <w:p w14:paraId="106271B3">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选项C错误；属于紧的财政政策和松的货币政策组合,这种政策组合在控制通货膨胀的同时,可以保持适度的经济增长,但货币政策过松,也难以抑制通货膨胀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选项D错误；属于松的财政政策和紧的货币政策,这种政策组合可以在保持经济适度增长的同时,尽可能地避免通货膨胀,但长期使用这种政策组合会积累大量财政赤字。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.在经济萧条时，政府可以通过</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来扩大需求，刺激经济发展。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A.减少公共支出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B.增加政府支出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C.降低税率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D.降低投资支出水平</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E.减少税收优惠</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考查财政政策的工具。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选项BC正确；如下图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选项ADE错误；在经济过热的时候使用该工具。</w:t>
      </w:r>
    </w:p>
    <w:tbl>
      <w:tblPr>
        <w:tblStyle w:val="3"/>
        <w:tblW w:w="4998" w:type="pct"/>
        <w:tblCellSpacing w:w="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744"/>
        <w:gridCol w:w="3051"/>
        <w:gridCol w:w="3578"/>
      </w:tblGrid>
      <w:tr w14:paraId="07C55A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1041" w:type="pct"/>
            <w:tcBorders>
              <w:top w:val="single" w:color="auto" w:sz="8" w:space="0"/>
              <w:left w:val="single" w:color="auto" w:sz="8" w:space="0"/>
              <w:bottom w:val="single" w:color="auto" w:sz="8" w:space="0"/>
              <w:right w:val="single" w:color="auto" w:sz="8" w:space="0"/>
            </w:tcBorders>
            <w:shd w:val="clear" w:color="auto" w:fill="auto"/>
            <w:vAlign w:val="center"/>
          </w:tcPr>
          <w:p w14:paraId="16FEBA65">
            <w:pPr>
              <w:pStyle w:val="2"/>
              <w:keepNext w:val="0"/>
              <w:keepLines w:val="0"/>
              <w:widowControl/>
              <w:suppressLineNumbers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aps w:val="0"/>
                <w:spacing w:val="0"/>
                <w:sz w:val="21"/>
                <w:szCs w:val="21"/>
                <w:shd w:val="clear" w:fill="FFFFFF"/>
              </w:rPr>
              <w:t>财政政策的</w:t>
            </w:r>
            <w:r>
              <w:rPr>
                <w:rFonts w:hint="eastAsia" w:asciiTheme="minorEastAsia" w:hAnsiTheme="minorEastAsia" w:eastAsiaTheme="minorEastAsia" w:cstheme="minorEastAsia"/>
                <w:b/>
                <w:bCs/>
                <w:caps w:val="0"/>
                <w:spacing w:val="0"/>
                <w:sz w:val="21"/>
                <w:szCs w:val="21"/>
              </w:rPr>
              <w:t>工具</w:t>
            </w:r>
          </w:p>
        </w:tc>
        <w:tc>
          <w:tcPr>
            <w:tcW w:w="1821" w:type="pct"/>
            <w:tcBorders>
              <w:top w:val="single" w:color="auto" w:sz="8" w:space="0"/>
              <w:left w:val="single" w:color="auto" w:sz="8" w:space="0"/>
              <w:bottom w:val="single" w:color="auto" w:sz="8" w:space="0"/>
              <w:right w:val="single" w:color="auto" w:sz="8" w:space="0"/>
            </w:tcBorders>
            <w:shd w:val="clear" w:color="auto" w:fill="auto"/>
            <w:vAlign w:val="center"/>
          </w:tcPr>
          <w:p w14:paraId="63D64265">
            <w:pPr>
              <w:pStyle w:val="2"/>
              <w:keepNext w:val="0"/>
              <w:keepLines w:val="0"/>
              <w:widowControl/>
              <w:suppressLineNumbers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社会总供给&lt;社会总需求，经济过热</w:t>
            </w:r>
          </w:p>
        </w:tc>
        <w:tc>
          <w:tcPr>
            <w:tcW w:w="2136" w:type="pct"/>
            <w:tcBorders>
              <w:top w:val="single" w:color="auto" w:sz="8" w:space="0"/>
              <w:left w:val="single" w:color="auto" w:sz="8" w:space="0"/>
              <w:bottom w:val="single" w:color="auto" w:sz="8" w:space="0"/>
              <w:right w:val="single" w:color="auto" w:sz="8" w:space="0"/>
            </w:tcBorders>
            <w:shd w:val="clear" w:color="auto" w:fill="auto"/>
            <w:vAlign w:val="center"/>
          </w:tcPr>
          <w:p w14:paraId="68E42F36">
            <w:pPr>
              <w:pStyle w:val="2"/>
              <w:keepNext w:val="0"/>
              <w:keepLines w:val="0"/>
              <w:widowControl/>
              <w:suppressLineNumbers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社会总供给&gt;社会总需求，经济萧条</w:t>
            </w:r>
          </w:p>
        </w:tc>
      </w:tr>
      <w:tr w14:paraId="681AB6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1041" w:type="pct"/>
            <w:tcBorders>
              <w:top w:val="single" w:color="auto" w:sz="8" w:space="0"/>
              <w:left w:val="single" w:color="auto" w:sz="8" w:space="0"/>
              <w:bottom w:val="single" w:color="auto" w:sz="8" w:space="0"/>
              <w:right w:val="single" w:color="auto" w:sz="8" w:space="0"/>
            </w:tcBorders>
            <w:shd w:val="clear" w:color="auto" w:fill="auto"/>
            <w:vAlign w:val="center"/>
          </w:tcPr>
          <w:p w14:paraId="3877516A">
            <w:pPr>
              <w:pStyle w:val="2"/>
              <w:keepNext w:val="0"/>
              <w:keepLines w:val="0"/>
              <w:widowControl/>
              <w:suppressLineNumbers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aps w:val="0"/>
                <w:spacing w:val="0"/>
                <w:sz w:val="21"/>
                <w:szCs w:val="21"/>
              </w:rPr>
              <w:t>1.预算政策</w:t>
            </w:r>
          </w:p>
        </w:tc>
        <w:tc>
          <w:tcPr>
            <w:tcW w:w="1821" w:type="pct"/>
            <w:tcBorders>
              <w:top w:val="single" w:color="auto" w:sz="8" w:space="0"/>
              <w:left w:val="single" w:color="auto" w:sz="8" w:space="0"/>
              <w:bottom w:val="single" w:color="auto" w:sz="8" w:space="0"/>
              <w:right w:val="single" w:color="auto" w:sz="8" w:space="0"/>
            </w:tcBorders>
            <w:shd w:val="clear" w:color="auto" w:fill="auto"/>
            <w:vAlign w:val="center"/>
          </w:tcPr>
          <w:p w14:paraId="3BCD1225">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缩小</w:t>
            </w:r>
            <w:r>
              <w:rPr>
                <w:rFonts w:hint="eastAsia" w:asciiTheme="minorEastAsia" w:hAnsiTheme="minorEastAsia" w:eastAsiaTheme="minorEastAsia" w:cstheme="minorEastAsia"/>
                <w:caps w:val="0"/>
                <w:spacing w:val="0"/>
                <w:sz w:val="21"/>
                <w:szCs w:val="21"/>
              </w:rPr>
              <w:t>支出规模、保持预算盈余</w:t>
            </w:r>
          </w:p>
        </w:tc>
        <w:tc>
          <w:tcPr>
            <w:tcW w:w="2136" w:type="pct"/>
            <w:tcBorders>
              <w:top w:val="single" w:color="auto" w:sz="8" w:space="0"/>
              <w:left w:val="single" w:color="auto" w:sz="8" w:space="0"/>
              <w:bottom w:val="single" w:color="auto" w:sz="8" w:space="0"/>
              <w:right w:val="single" w:color="auto" w:sz="8" w:space="0"/>
            </w:tcBorders>
            <w:shd w:val="clear" w:color="auto" w:fill="auto"/>
            <w:vAlign w:val="center"/>
          </w:tcPr>
          <w:p w14:paraId="35B77484">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扩大</w:t>
            </w:r>
            <w:r>
              <w:rPr>
                <w:rFonts w:hint="eastAsia" w:asciiTheme="minorEastAsia" w:hAnsiTheme="minorEastAsia" w:eastAsiaTheme="minorEastAsia" w:cstheme="minorEastAsia"/>
                <w:caps w:val="0"/>
                <w:spacing w:val="0"/>
                <w:sz w:val="21"/>
                <w:szCs w:val="21"/>
              </w:rPr>
              <w:t>支出规模，保持一定赤字规模</w:t>
            </w:r>
          </w:p>
        </w:tc>
      </w:tr>
      <w:tr w14:paraId="5E1E73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1041" w:type="pct"/>
            <w:tcBorders>
              <w:top w:val="single" w:color="auto" w:sz="8" w:space="0"/>
              <w:left w:val="single" w:color="auto" w:sz="8" w:space="0"/>
              <w:bottom w:val="single" w:color="auto" w:sz="8" w:space="0"/>
              <w:right w:val="single" w:color="auto" w:sz="8" w:space="0"/>
            </w:tcBorders>
            <w:shd w:val="clear" w:color="auto" w:fill="auto"/>
            <w:vAlign w:val="center"/>
          </w:tcPr>
          <w:p w14:paraId="636EE698">
            <w:pPr>
              <w:pStyle w:val="2"/>
              <w:keepNext w:val="0"/>
              <w:keepLines w:val="0"/>
              <w:widowControl/>
              <w:suppressLineNumbers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aps w:val="0"/>
                <w:spacing w:val="0"/>
                <w:sz w:val="21"/>
                <w:szCs w:val="21"/>
              </w:rPr>
              <w:t>2.税收政策</w:t>
            </w:r>
          </w:p>
        </w:tc>
        <w:tc>
          <w:tcPr>
            <w:tcW w:w="1821" w:type="pct"/>
            <w:tcBorders>
              <w:top w:val="single" w:color="auto" w:sz="8" w:space="0"/>
              <w:left w:val="single" w:color="auto" w:sz="8" w:space="0"/>
              <w:bottom w:val="single" w:color="auto" w:sz="8" w:space="0"/>
              <w:right w:val="single" w:color="auto" w:sz="8" w:space="0"/>
            </w:tcBorders>
            <w:shd w:val="clear" w:color="auto" w:fill="auto"/>
            <w:vAlign w:val="center"/>
          </w:tcPr>
          <w:p w14:paraId="7B0E9001">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提高</w:t>
            </w:r>
            <w:r>
              <w:rPr>
                <w:rFonts w:hint="eastAsia" w:asciiTheme="minorEastAsia" w:hAnsiTheme="minorEastAsia" w:eastAsiaTheme="minorEastAsia" w:cstheme="minorEastAsia"/>
                <w:caps w:val="0"/>
                <w:spacing w:val="0"/>
                <w:sz w:val="21"/>
                <w:szCs w:val="21"/>
              </w:rPr>
              <w:t>税率、减少税收优惠</w:t>
            </w:r>
          </w:p>
        </w:tc>
        <w:tc>
          <w:tcPr>
            <w:tcW w:w="2136" w:type="pct"/>
            <w:tcBorders>
              <w:top w:val="single" w:color="auto" w:sz="8" w:space="0"/>
              <w:left w:val="single" w:color="auto" w:sz="8" w:space="0"/>
              <w:bottom w:val="single" w:color="auto" w:sz="8" w:space="0"/>
              <w:right w:val="single" w:color="auto" w:sz="8" w:space="0"/>
            </w:tcBorders>
            <w:shd w:val="clear" w:color="auto" w:fill="auto"/>
            <w:vAlign w:val="center"/>
          </w:tcPr>
          <w:p w14:paraId="6654317D">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降低</w:t>
            </w:r>
            <w:r>
              <w:rPr>
                <w:rFonts w:hint="eastAsia" w:asciiTheme="minorEastAsia" w:hAnsiTheme="minorEastAsia" w:eastAsiaTheme="minorEastAsia" w:cstheme="minorEastAsia"/>
                <w:caps w:val="0"/>
                <w:spacing w:val="0"/>
                <w:sz w:val="21"/>
                <w:szCs w:val="21"/>
              </w:rPr>
              <w:t>税率、增加税收优惠</w:t>
            </w:r>
          </w:p>
        </w:tc>
      </w:tr>
      <w:tr w14:paraId="0791CD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1041" w:type="pct"/>
            <w:tcBorders>
              <w:top w:val="single" w:color="auto" w:sz="8" w:space="0"/>
              <w:left w:val="single" w:color="auto" w:sz="8" w:space="0"/>
              <w:bottom w:val="single" w:color="auto" w:sz="8" w:space="0"/>
              <w:right w:val="single" w:color="auto" w:sz="8" w:space="0"/>
            </w:tcBorders>
            <w:shd w:val="clear" w:color="auto" w:fill="auto"/>
            <w:vAlign w:val="center"/>
          </w:tcPr>
          <w:p w14:paraId="6D7C5F78">
            <w:pPr>
              <w:pStyle w:val="2"/>
              <w:keepNext w:val="0"/>
              <w:keepLines w:val="0"/>
              <w:widowControl/>
              <w:suppressLineNumbers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aps w:val="0"/>
                <w:spacing w:val="0"/>
                <w:sz w:val="21"/>
                <w:szCs w:val="21"/>
              </w:rPr>
              <w:t>3.公债政策</w:t>
            </w:r>
          </w:p>
        </w:tc>
        <w:tc>
          <w:tcPr>
            <w:tcW w:w="1821" w:type="pct"/>
            <w:tcBorders>
              <w:top w:val="single" w:color="auto" w:sz="8" w:space="0"/>
              <w:left w:val="single" w:color="auto" w:sz="8" w:space="0"/>
              <w:bottom w:val="single" w:color="auto" w:sz="8" w:space="0"/>
              <w:right w:val="single" w:color="auto" w:sz="8" w:space="0"/>
            </w:tcBorders>
            <w:shd w:val="clear" w:color="auto" w:fill="auto"/>
            <w:vAlign w:val="center"/>
          </w:tcPr>
          <w:p w14:paraId="48F15CB0">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增加</w:t>
            </w:r>
            <w:r>
              <w:rPr>
                <w:rFonts w:hint="eastAsia" w:asciiTheme="minorEastAsia" w:hAnsiTheme="minorEastAsia" w:eastAsiaTheme="minorEastAsia" w:cstheme="minorEastAsia"/>
                <w:caps w:val="0"/>
                <w:color w:val="FF0000"/>
                <w:spacing w:val="0"/>
                <w:sz w:val="21"/>
                <w:szCs w:val="21"/>
              </w:rPr>
              <w:t>长期</w:t>
            </w:r>
            <w:r>
              <w:rPr>
                <w:rFonts w:hint="eastAsia" w:asciiTheme="minorEastAsia" w:hAnsiTheme="minorEastAsia" w:eastAsiaTheme="minorEastAsia" w:cstheme="minorEastAsia"/>
                <w:caps w:val="0"/>
                <w:spacing w:val="0"/>
                <w:sz w:val="21"/>
                <w:szCs w:val="21"/>
              </w:rPr>
              <w:t>国债、提高利率</w:t>
            </w:r>
          </w:p>
        </w:tc>
        <w:tc>
          <w:tcPr>
            <w:tcW w:w="2136" w:type="pct"/>
            <w:tcBorders>
              <w:top w:val="single" w:color="auto" w:sz="8" w:space="0"/>
              <w:left w:val="single" w:color="auto" w:sz="8" w:space="0"/>
              <w:bottom w:val="single" w:color="auto" w:sz="8" w:space="0"/>
              <w:right w:val="single" w:color="auto" w:sz="8" w:space="0"/>
            </w:tcBorders>
            <w:shd w:val="clear" w:color="auto" w:fill="auto"/>
            <w:vAlign w:val="center"/>
          </w:tcPr>
          <w:p w14:paraId="105750C9">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增加</w:t>
            </w:r>
            <w:r>
              <w:rPr>
                <w:rFonts w:hint="eastAsia" w:asciiTheme="minorEastAsia" w:hAnsiTheme="minorEastAsia" w:eastAsiaTheme="minorEastAsia" w:cstheme="minorEastAsia"/>
                <w:caps w:val="0"/>
                <w:color w:val="FF0000"/>
                <w:spacing w:val="0"/>
                <w:sz w:val="21"/>
                <w:szCs w:val="21"/>
              </w:rPr>
              <w:t>短期</w:t>
            </w:r>
            <w:r>
              <w:rPr>
                <w:rFonts w:hint="eastAsia" w:asciiTheme="minorEastAsia" w:hAnsiTheme="minorEastAsia" w:eastAsiaTheme="minorEastAsia" w:cstheme="minorEastAsia"/>
                <w:caps w:val="0"/>
                <w:spacing w:val="0"/>
                <w:sz w:val="21"/>
                <w:szCs w:val="21"/>
              </w:rPr>
              <w:t>国债、</w:t>
            </w:r>
            <w:r>
              <w:rPr>
                <w:rFonts w:hint="eastAsia" w:asciiTheme="minorEastAsia" w:hAnsiTheme="minorEastAsia" w:eastAsiaTheme="minorEastAsia" w:cstheme="minorEastAsia"/>
                <w:caps w:val="0"/>
                <w:color w:val="FF0000"/>
                <w:spacing w:val="0"/>
                <w:sz w:val="21"/>
                <w:szCs w:val="21"/>
              </w:rPr>
              <w:t>降低</w:t>
            </w:r>
            <w:r>
              <w:rPr>
                <w:rFonts w:hint="eastAsia" w:asciiTheme="minorEastAsia" w:hAnsiTheme="minorEastAsia" w:eastAsiaTheme="minorEastAsia" w:cstheme="minorEastAsia"/>
                <w:caps w:val="0"/>
                <w:spacing w:val="0"/>
                <w:sz w:val="21"/>
                <w:szCs w:val="21"/>
              </w:rPr>
              <w:t>利率</w:t>
            </w:r>
          </w:p>
        </w:tc>
      </w:tr>
      <w:tr w14:paraId="39DFDE7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1041" w:type="pct"/>
            <w:tcBorders>
              <w:top w:val="single" w:color="auto" w:sz="8" w:space="0"/>
              <w:left w:val="single" w:color="auto" w:sz="8" w:space="0"/>
              <w:bottom w:val="single" w:color="auto" w:sz="8" w:space="0"/>
              <w:right w:val="single" w:color="auto" w:sz="8" w:space="0"/>
            </w:tcBorders>
            <w:shd w:val="clear" w:color="auto" w:fill="auto"/>
            <w:vAlign w:val="center"/>
          </w:tcPr>
          <w:p w14:paraId="70815AE5">
            <w:pPr>
              <w:pStyle w:val="2"/>
              <w:keepNext w:val="0"/>
              <w:keepLines w:val="0"/>
              <w:widowControl/>
              <w:suppressLineNumbers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aps w:val="0"/>
                <w:spacing w:val="0"/>
                <w:sz w:val="21"/>
                <w:szCs w:val="21"/>
              </w:rPr>
              <w:t>4.公共支出</w:t>
            </w:r>
          </w:p>
        </w:tc>
        <w:tc>
          <w:tcPr>
            <w:tcW w:w="1821" w:type="pct"/>
            <w:tcBorders>
              <w:top w:val="single" w:color="auto" w:sz="8" w:space="0"/>
              <w:left w:val="single" w:color="auto" w:sz="8" w:space="0"/>
              <w:bottom w:val="single" w:color="auto" w:sz="8" w:space="0"/>
              <w:right w:val="single" w:color="auto" w:sz="8" w:space="0"/>
            </w:tcBorders>
            <w:shd w:val="clear" w:color="auto" w:fill="auto"/>
            <w:vAlign w:val="center"/>
          </w:tcPr>
          <w:p w14:paraId="02BAE3BF">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减少</w:t>
            </w:r>
            <w:r>
              <w:rPr>
                <w:rFonts w:hint="eastAsia" w:asciiTheme="minorEastAsia" w:hAnsiTheme="minorEastAsia" w:eastAsiaTheme="minorEastAsia" w:cstheme="minorEastAsia"/>
                <w:caps w:val="0"/>
                <w:spacing w:val="0"/>
                <w:sz w:val="21"/>
                <w:szCs w:val="21"/>
              </w:rPr>
              <w:t>公共支出</w:t>
            </w:r>
          </w:p>
        </w:tc>
        <w:tc>
          <w:tcPr>
            <w:tcW w:w="2136" w:type="pct"/>
            <w:tcBorders>
              <w:top w:val="single" w:color="auto" w:sz="8" w:space="0"/>
              <w:left w:val="single" w:color="auto" w:sz="8" w:space="0"/>
              <w:bottom w:val="single" w:color="auto" w:sz="8" w:space="0"/>
              <w:right w:val="single" w:color="auto" w:sz="8" w:space="0"/>
            </w:tcBorders>
            <w:shd w:val="clear" w:color="auto" w:fill="auto"/>
            <w:vAlign w:val="center"/>
          </w:tcPr>
          <w:p w14:paraId="51AE0466">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增加</w:t>
            </w:r>
            <w:r>
              <w:rPr>
                <w:rFonts w:hint="eastAsia" w:asciiTheme="minorEastAsia" w:hAnsiTheme="minorEastAsia" w:eastAsiaTheme="minorEastAsia" w:cstheme="minorEastAsia"/>
                <w:caps w:val="0"/>
                <w:spacing w:val="0"/>
                <w:sz w:val="21"/>
                <w:szCs w:val="21"/>
              </w:rPr>
              <w:t>公共支出</w:t>
            </w:r>
          </w:p>
        </w:tc>
      </w:tr>
      <w:tr w14:paraId="3D2935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1041" w:type="pct"/>
            <w:tcBorders>
              <w:top w:val="single" w:color="auto" w:sz="8" w:space="0"/>
              <w:left w:val="single" w:color="auto" w:sz="8" w:space="0"/>
              <w:bottom w:val="single" w:color="auto" w:sz="8" w:space="0"/>
              <w:right w:val="single" w:color="auto" w:sz="8" w:space="0"/>
            </w:tcBorders>
            <w:shd w:val="clear" w:color="auto" w:fill="auto"/>
            <w:vAlign w:val="center"/>
          </w:tcPr>
          <w:p w14:paraId="4E3B7FD8">
            <w:pPr>
              <w:pStyle w:val="2"/>
              <w:keepNext w:val="0"/>
              <w:keepLines w:val="0"/>
              <w:widowControl/>
              <w:suppressLineNumbers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aps w:val="0"/>
                <w:spacing w:val="0"/>
                <w:sz w:val="21"/>
                <w:szCs w:val="21"/>
              </w:rPr>
              <w:t>5.政府投资政策</w:t>
            </w:r>
          </w:p>
        </w:tc>
        <w:tc>
          <w:tcPr>
            <w:tcW w:w="1821" w:type="pct"/>
            <w:tcBorders>
              <w:top w:val="single" w:color="auto" w:sz="8" w:space="0"/>
              <w:left w:val="single" w:color="auto" w:sz="8" w:space="0"/>
              <w:bottom w:val="single" w:color="auto" w:sz="8" w:space="0"/>
              <w:right w:val="single" w:color="auto" w:sz="8" w:space="0"/>
            </w:tcBorders>
            <w:shd w:val="clear" w:color="auto" w:fill="auto"/>
            <w:vAlign w:val="center"/>
          </w:tcPr>
          <w:p w14:paraId="3BDB5952">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降低</w:t>
            </w:r>
            <w:r>
              <w:rPr>
                <w:rFonts w:hint="eastAsia" w:asciiTheme="minorEastAsia" w:hAnsiTheme="minorEastAsia" w:eastAsiaTheme="minorEastAsia" w:cstheme="minorEastAsia"/>
                <w:caps w:val="0"/>
                <w:spacing w:val="0"/>
                <w:sz w:val="21"/>
                <w:szCs w:val="21"/>
              </w:rPr>
              <w:t>投资支出水平</w:t>
            </w:r>
          </w:p>
        </w:tc>
        <w:tc>
          <w:tcPr>
            <w:tcW w:w="2136" w:type="pct"/>
            <w:tcBorders>
              <w:top w:val="single" w:color="auto" w:sz="8" w:space="0"/>
              <w:left w:val="single" w:color="auto" w:sz="8" w:space="0"/>
              <w:bottom w:val="single" w:color="auto" w:sz="8" w:space="0"/>
              <w:right w:val="single" w:color="auto" w:sz="8" w:space="0"/>
            </w:tcBorders>
            <w:shd w:val="clear" w:color="auto" w:fill="auto"/>
            <w:vAlign w:val="center"/>
          </w:tcPr>
          <w:p w14:paraId="6503BFC9">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提高</w:t>
            </w:r>
            <w:r>
              <w:rPr>
                <w:rFonts w:hint="eastAsia" w:asciiTheme="minorEastAsia" w:hAnsiTheme="minorEastAsia" w:eastAsiaTheme="minorEastAsia" w:cstheme="minorEastAsia"/>
                <w:caps w:val="0"/>
                <w:spacing w:val="0"/>
                <w:sz w:val="21"/>
                <w:szCs w:val="21"/>
              </w:rPr>
              <w:t>投资支出水平</w:t>
            </w:r>
          </w:p>
        </w:tc>
      </w:tr>
      <w:tr w14:paraId="07CF13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1041" w:type="pct"/>
            <w:tcBorders>
              <w:top w:val="single" w:color="auto" w:sz="8" w:space="0"/>
              <w:left w:val="single" w:color="auto" w:sz="8" w:space="0"/>
              <w:bottom w:val="single" w:color="auto" w:sz="8" w:space="0"/>
              <w:right w:val="single" w:color="auto" w:sz="8" w:space="0"/>
            </w:tcBorders>
            <w:shd w:val="clear" w:color="auto" w:fill="auto"/>
            <w:vAlign w:val="center"/>
          </w:tcPr>
          <w:p w14:paraId="2C874777">
            <w:pPr>
              <w:pStyle w:val="2"/>
              <w:keepNext w:val="0"/>
              <w:keepLines w:val="0"/>
              <w:widowControl/>
              <w:suppressLineNumbers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aps w:val="0"/>
                <w:spacing w:val="0"/>
                <w:sz w:val="21"/>
                <w:szCs w:val="21"/>
              </w:rPr>
              <w:t>6.</w:t>
            </w:r>
            <w:r>
              <w:rPr>
                <w:rFonts w:hint="eastAsia" w:asciiTheme="minorEastAsia" w:hAnsiTheme="minorEastAsia" w:eastAsiaTheme="minorEastAsia" w:cstheme="minorEastAsia"/>
                <w:caps w:val="0"/>
                <w:spacing w:val="0"/>
                <w:sz w:val="21"/>
                <w:szCs w:val="21"/>
                <w:shd w:val="clear" w:fill="FFFFFF"/>
              </w:rPr>
              <w:t>财政</w:t>
            </w:r>
            <w:r>
              <w:rPr>
                <w:rFonts w:hint="eastAsia" w:asciiTheme="minorEastAsia" w:hAnsiTheme="minorEastAsia" w:eastAsiaTheme="minorEastAsia" w:cstheme="minorEastAsia"/>
                <w:caps w:val="0"/>
                <w:spacing w:val="0"/>
                <w:sz w:val="21"/>
                <w:szCs w:val="21"/>
              </w:rPr>
              <w:t>补贴政策</w:t>
            </w:r>
          </w:p>
        </w:tc>
        <w:tc>
          <w:tcPr>
            <w:tcW w:w="1821" w:type="pct"/>
            <w:tcBorders>
              <w:top w:val="single" w:color="auto" w:sz="8" w:space="0"/>
              <w:left w:val="single" w:color="auto" w:sz="8" w:space="0"/>
              <w:bottom w:val="single" w:color="auto" w:sz="8" w:space="0"/>
              <w:right w:val="single" w:color="auto" w:sz="8" w:space="0"/>
            </w:tcBorders>
            <w:shd w:val="clear" w:color="auto" w:fill="auto"/>
            <w:vAlign w:val="center"/>
          </w:tcPr>
          <w:p w14:paraId="7F83B2BF">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减少</w:t>
            </w:r>
            <w:r>
              <w:rPr>
                <w:rFonts w:hint="eastAsia" w:asciiTheme="minorEastAsia" w:hAnsiTheme="minorEastAsia" w:eastAsiaTheme="minorEastAsia" w:cstheme="minorEastAsia"/>
                <w:caps w:val="0"/>
                <w:spacing w:val="0"/>
                <w:sz w:val="21"/>
                <w:szCs w:val="21"/>
              </w:rPr>
              <w:t>补贴</w:t>
            </w:r>
          </w:p>
        </w:tc>
        <w:tc>
          <w:tcPr>
            <w:tcW w:w="2136" w:type="pct"/>
            <w:tcBorders>
              <w:top w:val="single" w:color="auto" w:sz="8" w:space="0"/>
              <w:left w:val="single" w:color="auto" w:sz="8" w:space="0"/>
              <w:bottom w:val="single" w:color="auto" w:sz="8" w:space="0"/>
              <w:right w:val="single" w:color="auto" w:sz="8" w:space="0"/>
            </w:tcBorders>
            <w:shd w:val="clear" w:color="auto" w:fill="auto"/>
            <w:vAlign w:val="center"/>
          </w:tcPr>
          <w:p w14:paraId="7972B373">
            <w:pPr>
              <w:pStyle w:val="2"/>
              <w:keepNext w:val="0"/>
              <w:keepLines w:val="0"/>
              <w:widowControl/>
              <w:suppressLineNumbers w:val="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caps w:val="0"/>
                <w:spacing w:val="0"/>
                <w:sz w:val="21"/>
                <w:szCs w:val="21"/>
              </w:rPr>
              <w:t>增加</w:t>
            </w:r>
            <w:r>
              <w:rPr>
                <w:rFonts w:hint="eastAsia" w:asciiTheme="minorEastAsia" w:hAnsiTheme="minorEastAsia" w:eastAsiaTheme="minorEastAsia" w:cstheme="minorEastAsia"/>
                <w:caps w:val="0"/>
                <w:spacing w:val="0"/>
                <w:sz w:val="21"/>
                <w:szCs w:val="21"/>
              </w:rPr>
              <w:t>补贴</w:t>
            </w:r>
          </w:p>
        </w:tc>
      </w:tr>
    </w:tbl>
    <w:p w14:paraId="45A05FA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8.以下属于转移性支出的有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A.政府补助支出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B.政府消费支出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C.政府捐赠支出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D.政府购买支出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E.债务利息支出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本题考查公共支出政策。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公共支出是指政府用于满足纯公共需要的一般性支出,主要包括狭义的购买性支出和转移性支出两大部分。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选项ACE正确；转移性支出是直接表现为财政资金无偿、单方面转移的支出，包括政府补助支出、捐赠支出和债务利息支出。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选项BD错误；狭义的购买性支出是指政府进行日常行政事务活动所需要的商品和劳务支出,即政府的消费性支出。转移性支出是指直接表现为财政资金</w:t>
      </w:r>
    </w:p>
    <w:p w14:paraId="421D84B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186A7C76">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9.财政“自动稳定器”的作用主要表现为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等的自动稳定作用。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A.累进所得税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B.消费型增值税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C.政府福利支出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D.消费税和关税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E.货物和劳务税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本题考查财政政策的类型。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选项AC正确；财政“自动稳定器”的作用主要表现在累进所得税(包括个人所得税和企业所得税)的自动稳定作用和政府福利支出的自动稳定作用。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选项B错误；“消费型”增值税,即允许扣除购人固定资产中所含的税款,这种类型的增值税从全社会看,全部生产资料都不课税,课税对象只限于消费资料,故称为“消费型”增值税;</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选项DE错误；货物和劳务税类,包括增值税、消费税和关税,主要在生产,流通或者服务业中发挥调节作用。</w:t>
      </w:r>
    </w:p>
    <w:p w14:paraId="592A808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AC2D7FA">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p>
    <w:p w14:paraId="78F3449C">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4BE05D2">
      <w:pPr>
        <w:keepNext w:val="0"/>
        <w:keepLines w:val="0"/>
        <w:widowControl/>
        <w:suppressLineNumbers w:val="0"/>
        <w:jc w:val="left"/>
        <w:rPr>
          <w:rFonts w:hint="eastAsia" w:asciiTheme="minorEastAsia" w:hAnsiTheme="minorEastAsia" w:eastAsiaTheme="minorEastAsia" w:cstheme="minorEastAsia"/>
          <w:sz w:val="21"/>
          <w:szCs w:val="21"/>
        </w:rPr>
      </w:pPr>
    </w:p>
    <w:p w14:paraId="4F34D119">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66661BBA">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财政政策乘数与时滞</w:t>
      </w:r>
    </w:p>
    <w:p w14:paraId="7F790015">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1.财政部门将分析的结果提交给立法机关审议通过所需要的时间称为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A.认识时滞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B.行政时滞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C.决策时滞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D.执行时滞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财政政策的实施一般会产生下列五种时滞，依次为认识时滞、行政时滞、决策时滞、执行时滞及效果时滞。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选项C正确；决策时滞，是指财政部门将分析的结果提交给立法机关审议通过所需要的时间。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选项A错误；认识时滞。这是指从经济现象发生变化到决策者对这种需要调整的变化有所认识所经过的时间。这段延迟时间的长短,主要取决于行政部门掌握经济信息和准确预测的能力。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选项B错误；行政时滞。行政时滞也称为行动时滞,是指财政部门在制定采取何种政策之前对经济问题进行调查研究所耗费的时间。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选项D错误；执行时滞。这是指政策议案经立法机关批准后交付有关单位付诸实施所需要的时间。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效果时滞。这是指政策正式实施到已对经济产生影响所需要的时间。</w:t>
      </w:r>
    </w:p>
    <w:p w14:paraId="48EE63A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2.如果已知边际消费倾向为0.8，则政府购买支出乘数为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此题考查财政政策乘数的计算。政府购买支出乘数=1/(1-边际消费倾向)=1÷(1-0.8)=5。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3.下列关于财政政策乘数的表述错误的是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A.当政府投资或支出扩大、税收减少时，产生宏观经济的扩张效应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B.购买性支出乘数大于税收乘数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C.实行平衡预算政策，不具有扩张效应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D.平衡预算乘数等于1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此题考查财政政策的乘数。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财政乘数效应表明:当政府投资或支出扩大,税收减少时,对国民收入有加倍扩大的作用，从而产生宏观经济的扩张效应;当政府投资或支出减少,税收增加时,对国民收入有加倍收缩的作用,从而产生宏观经济的紧缩效应。</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选项B正确；同税收乘数比较，购买性支出乘数大于税收乘数。</w:t>
      </w:r>
    </w:p>
    <w:p w14:paraId="2A618D8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平衡预算乘数表明即使增加税收会减少国民收入，但如果同时等额增加政府支出，国民收入也会以支出增加的数量增加。</w:t>
      </w:r>
    </w:p>
    <w:p w14:paraId="3A557C0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选项C错误；D正确；这意味着即使实行平衡预算政策，仍具有扩张效应，其效应等于1。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只涉及行政单位，而与立法机关无关，称为内在时滞。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A.认识时滞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B.行政时滞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C.决策时滞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D.执行时滞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E.效果时滞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考查财政政策时滞。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选项AB正确；认识时滞和行政时滞，只涉及行政单位，而与立法机关无关，即这两种时滞只属于研究过程，与决策机关没有直接关系，在经济学上一般被称为内在时滞；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选项CDE错误；与内在时滞相对应，决策时滞、执行时滞、效果时滞被称为外在时滞。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.财政政策实施的过程中，属于外在时滞的有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A.认识时滞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B.效果时滞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C.决策时滞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D.执行时滞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E.行政时滞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财政政策的时滞可以分为：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选项AE错误；①内在时滞，即只属于研究过程，与决策机关没有直接关系，包括认识时滞和行政时滞；</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选项BCD正确；②外在时滞，是指从财政当局采取措施到这些措施对经济体系产生影响的这一段时间，包括决策时滞、执行时滞和效果时滞。</w:t>
      </w:r>
    </w:p>
    <w:p w14:paraId="4D55CE8D">
      <w:pPr>
        <w:rPr>
          <w:rFonts w:hint="eastAsia" w:asciiTheme="minorEastAsia" w:hAnsiTheme="minorEastAsia" w:eastAsiaTheme="minorEastAsia" w:cstheme="minorEastAsia"/>
          <w:sz w:val="21"/>
          <w:szCs w:val="21"/>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CFA0D7"/>
    <w:rsid w:val="45567EEB"/>
    <w:rsid w:val="F76AD68D"/>
    <w:rsid w:val="FFCFA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5166</Words>
  <Characters>5351</Characters>
  <Lines>0</Lines>
  <Paragraphs>0</Paragraphs>
  <TotalTime>0</TotalTime>
  <ScaleCrop>false</ScaleCrop>
  <LinksUpToDate>false</LinksUpToDate>
  <CharactersWithSpaces>5366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2025-08-14T11:44:00Z</dcterms:created>
  <dc:creator>MEI</dc:creator>
  <cp:lastModifiedBy>玉生烟罗</cp:lastModifiedBy>
  <dcterms:modified xsi:type="dcterms:W3CDTF">2025-08-18T13:50:05Z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DB1D3C5FD088B90FB25B9D685C60D906_41</vt:lpwstr>
  </property>
  <property fmtid="{D5CDD505-2E9C-101B-9397-08002B2CF9AE}" pid="4" name="KSOTemplateDocerSaveRecord">
    <vt:lpwstr>eyJoZGlkIjoiNDRlYTAwOTc5MTNmOWRiZDM5YzMzZWQ3MzliNTM4YTQiLCJ1c2VySWQiOiI0NDQwODk2NzgifQ==</vt:lpwstr>
  </property>
</Properties>
</file>